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21282" w14:textId="77777777" w:rsidR="000A461C" w:rsidRPr="00BE26C0" w:rsidRDefault="0068703D" w:rsidP="000A461C">
      <w:pPr>
        <w:jc w:val="center"/>
        <w:rPr>
          <w:b/>
          <w:sz w:val="40"/>
          <w:szCs w:val="40"/>
        </w:rPr>
      </w:pPr>
      <w:r>
        <w:rPr>
          <w:b/>
          <w:sz w:val="40"/>
          <w:szCs w:val="40"/>
        </w:rPr>
        <w:t xml:space="preserve">Developing a </w:t>
      </w:r>
      <w:r w:rsidR="000A461C" w:rsidRPr="00BE26C0">
        <w:rPr>
          <w:b/>
          <w:sz w:val="40"/>
          <w:szCs w:val="40"/>
        </w:rPr>
        <w:t xml:space="preserve">Demonstration of Need </w:t>
      </w:r>
      <w:r w:rsidR="0010249E">
        <w:rPr>
          <w:b/>
          <w:sz w:val="40"/>
          <w:szCs w:val="40"/>
        </w:rPr>
        <w:t>(DON)</w:t>
      </w:r>
    </w:p>
    <w:p w14:paraId="537CD852" w14:textId="77777777" w:rsidR="000A461C" w:rsidRPr="00BE26C0" w:rsidRDefault="000A461C" w:rsidP="000A461C">
      <w:pPr>
        <w:jc w:val="center"/>
        <w:rPr>
          <w:b/>
          <w:sz w:val="40"/>
          <w:szCs w:val="40"/>
        </w:rPr>
      </w:pPr>
      <w:r w:rsidRPr="00BE26C0">
        <w:rPr>
          <w:b/>
          <w:sz w:val="40"/>
          <w:szCs w:val="40"/>
        </w:rPr>
        <w:t>for Solid Waste Disposal Facilities</w:t>
      </w:r>
    </w:p>
    <w:p w14:paraId="7783AC7C" w14:textId="77777777" w:rsidR="000A461C" w:rsidRDefault="000A461C" w:rsidP="000A461C">
      <w:pPr>
        <w:pStyle w:val="BodyTextIndent"/>
        <w:ind w:left="0"/>
      </w:pPr>
    </w:p>
    <w:p w14:paraId="117D0411" w14:textId="77777777" w:rsidR="0033369D" w:rsidRDefault="000A461C" w:rsidP="000A461C">
      <w:pPr>
        <w:pStyle w:val="BodyTextIndent"/>
        <w:ind w:left="0"/>
        <w:rPr>
          <w:sz w:val="22"/>
          <w:szCs w:val="22"/>
        </w:rPr>
      </w:pPr>
      <w:r w:rsidRPr="00AD4728">
        <w:rPr>
          <w:sz w:val="22"/>
          <w:szCs w:val="22"/>
        </w:rPr>
        <w:t xml:space="preserve">According to </w:t>
      </w:r>
      <w:r w:rsidR="004B4D69">
        <w:rPr>
          <w:sz w:val="22"/>
          <w:szCs w:val="22"/>
        </w:rPr>
        <w:t xml:space="preserve">the </w:t>
      </w:r>
      <w:r w:rsidRPr="00AD4728">
        <w:rPr>
          <w:sz w:val="22"/>
          <w:szCs w:val="22"/>
        </w:rPr>
        <w:t>Miss</w:t>
      </w:r>
      <w:r w:rsidR="004B4D69">
        <w:rPr>
          <w:sz w:val="22"/>
          <w:szCs w:val="22"/>
        </w:rPr>
        <w:t>issippi Code Annotated,</w:t>
      </w:r>
      <w:r w:rsidRPr="00AD4728">
        <w:rPr>
          <w:sz w:val="22"/>
          <w:szCs w:val="22"/>
        </w:rPr>
        <w:t xml:space="preserve"> Section 17-17-227, each local solid waste management plan must include a </w:t>
      </w:r>
      <w:r w:rsidR="004B4D69">
        <w:rPr>
          <w:sz w:val="22"/>
          <w:szCs w:val="22"/>
        </w:rPr>
        <w:t>“</w:t>
      </w:r>
      <w:r w:rsidRPr="00AD4728">
        <w:rPr>
          <w:sz w:val="22"/>
          <w:szCs w:val="22"/>
        </w:rPr>
        <w:t>determination of need</w:t>
      </w:r>
      <w:r w:rsidR="004B4D69">
        <w:rPr>
          <w:sz w:val="22"/>
          <w:szCs w:val="22"/>
        </w:rPr>
        <w:t>”</w:t>
      </w:r>
      <w:r w:rsidRPr="00AD4728">
        <w:rPr>
          <w:sz w:val="22"/>
          <w:szCs w:val="22"/>
        </w:rPr>
        <w:t xml:space="preserve"> by the local government for any new or expanded solid waste management facility proposed for inclusion in the plan. </w:t>
      </w:r>
      <w:r w:rsidR="0033369D">
        <w:rPr>
          <w:sz w:val="22"/>
          <w:szCs w:val="22"/>
        </w:rPr>
        <w:t xml:space="preserve">A </w:t>
      </w:r>
      <w:r w:rsidR="00215BFB">
        <w:rPr>
          <w:sz w:val="22"/>
          <w:szCs w:val="22"/>
        </w:rPr>
        <w:t xml:space="preserve">person, business or organization </w:t>
      </w:r>
      <w:r w:rsidR="0033369D">
        <w:rPr>
          <w:sz w:val="22"/>
          <w:szCs w:val="22"/>
        </w:rPr>
        <w:t xml:space="preserve">proposing a new </w:t>
      </w:r>
      <w:r w:rsidR="009D5586" w:rsidRPr="00AD4728">
        <w:rPr>
          <w:sz w:val="22"/>
          <w:szCs w:val="22"/>
        </w:rPr>
        <w:t xml:space="preserve">disposal </w:t>
      </w:r>
      <w:r w:rsidR="0033369D">
        <w:rPr>
          <w:sz w:val="22"/>
          <w:szCs w:val="22"/>
        </w:rPr>
        <w:t>facility or an expansion of an existing disposal facility, must request that the local g</w:t>
      </w:r>
      <w:r w:rsidR="00534491">
        <w:rPr>
          <w:sz w:val="22"/>
          <w:szCs w:val="22"/>
        </w:rPr>
        <w:t xml:space="preserve">overnment include that new disposal capacity </w:t>
      </w:r>
      <w:r w:rsidR="0033369D">
        <w:rPr>
          <w:sz w:val="22"/>
          <w:szCs w:val="22"/>
        </w:rPr>
        <w:t>in the approved, local sol</w:t>
      </w:r>
      <w:r w:rsidR="00534491">
        <w:rPr>
          <w:sz w:val="22"/>
          <w:szCs w:val="22"/>
        </w:rPr>
        <w:t xml:space="preserve">id waste management plan.  The </w:t>
      </w:r>
      <w:r w:rsidR="0033369D">
        <w:rPr>
          <w:sz w:val="22"/>
          <w:szCs w:val="22"/>
        </w:rPr>
        <w:t>request</w:t>
      </w:r>
      <w:r w:rsidR="00534491">
        <w:rPr>
          <w:sz w:val="22"/>
          <w:szCs w:val="22"/>
        </w:rPr>
        <w:t xml:space="preserve"> by the applicant</w:t>
      </w:r>
      <w:r w:rsidR="0033369D">
        <w:rPr>
          <w:sz w:val="22"/>
          <w:szCs w:val="22"/>
        </w:rPr>
        <w:t xml:space="preserve"> to the local government must be accompanied by a </w:t>
      </w:r>
      <w:r w:rsidR="000366BD">
        <w:rPr>
          <w:sz w:val="22"/>
          <w:szCs w:val="22"/>
        </w:rPr>
        <w:t>“</w:t>
      </w:r>
      <w:r w:rsidR="0068703D" w:rsidRPr="00AD4728">
        <w:rPr>
          <w:sz w:val="22"/>
          <w:szCs w:val="22"/>
        </w:rPr>
        <w:t>demonstration of need</w:t>
      </w:r>
      <w:r w:rsidR="000366BD">
        <w:rPr>
          <w:sz w:val="22"/>
          <w:szCs w:val="22"/>
        </w:rPr>
        <w:t>”</w:t>
      </w:r>
      <w:r w:rsidR="009D5586" w:rsidRPr="00AD4728">
        <w:rPr>
          <w:sz w:val="22"/>
          <w:szCs w:val="22"/>
        </w:rPr>
        <w:t xml:space="preserve"> </w:t>
      </w:r>
      <w:r w:rsidR="00CF13D8">
        <w:rPr>
          <w:sz w:val="22"/>
          <w:szCs w:val="22"/>
        </w:rPr>
        <w:t xml:space="preserve">(DON) </w:t>
      </w:r>
      <w:r w:rsidR="001B50E8">
        <w:rPr>
          <w:sz w:val="22"/>
          <w:szCs w:val="22"/>
        </w:rPr>
        <w:t xml:space="preserve">for the proposed </w:t>
      </w:r>
      <w:r w:rsidR="0033369D">
        <w:rPr>
          <w:sz w:val="22"/>
          <w:szCs w:val="22"/>
        </w:rPr>
        <w:t xml:space="preserve">new disposal capacity. </w:t>
      </w:r>
      <w:r w:rsidR="00CF13D8">
        <w:rPr>
          <w:sz w:val="22"/>
          <w:szCs w:val="22"/>
        </w:rPr>
        <w:t>The DON</w:t>
      </w:r>
      <w:r w:rsidR="000366BD">
        <w:rPr>
          <w:sz w:val="22"/>
          <w:szCs w:val="22"/>
        </w:rPr>
        <w:t xml:space="preserve"> must </w:t>
      </w:r>
      <w:r w:rsidR="00AD4728">
        <w:rPr>
          <w:sz w:val="22"/>
          <w:szCs w:val="22"/>
        </w:rPr>
        <w:t xml:space="preserve">address the five primary components </w:t>
      </w:r>
      <w:r w:rsidR="00A5167B">
        <w:rPr>
          <w:sz w:val="22"/>
          <w:szCs w:val="22"/>
        </w:rPr>
        <w:t xml:space="preserve">identified by </w:t>
      </w:r>
      <w:r w:rsidR="00AD4728">
        <w:rPr>
          <w:sz w:val="22"/>
          <w:szCs w:val="22"/>
        </w:rPr>
        <w:t xml:space="preserve">state law </w:t>
      </w:r>
      <w:r w:rsidR="00CF13D8">
        <w:rPr>
          <w:sz w:val="22"/>
          <w:szCs w:val="22"/>
        </w:rPr>
        <w:t>and</w:t>
      </w:r>
      <w:r w:rsidR="000366BD">
        <w:rPr>
          <w:sz w:val="22"/>
          <w:szCs w:val="22"/>
        </w:rPr>
        <w:t xml:space="preserve"> </w:t>
      </w:r>
      <w:r w:rsidR="00AD4728">
        <w:rPr>
          <w:sz w:val="22"/>
          <w:szCs w:val="22"/>
        </w:rPr>
        <w:t>should be made available for public review and comment</w:t>
      </w:r>
      <w:r w:rsidR="000366BD">
        <w:rPr>
          <w:sz w:val="22"/>
          <w:szCs w:val="22"/>
        </w:rPr>
        <w:t xml:space="preserve"> with other documents on the proposed facility</w:t>
      </w:r>
      <w:r w:rsidR="00AD4728">
        <w:rPr>
          <w:sz w:val="22"/>
          <w:szCs w:val="22"/>
        </w:rPr>
        <w:t xml:space="preserve">. </w:t>
      </w:r>
    </w:p>
    <w:p w14:paraId="0411ACC3" w14:textId="77777777" w:rsidR="0033369D" w:rsidRDefault="0033369D" w:rsidP="000A461C">
      <w:pPr>
        <w:pStyle w:val="BodyTextIndent"/>
        <w:ind w:left="0"/>
        <w:rPr>
          <w:sz w:val="22"/>
          <w:szCs w:val="22"/>
        </w:rPr>
      </w:pPr>
    </w:p>
    <w:p w14:paraId="351D6B3D" w14:textId="77777777" w:rsidR="009D5586" w:rsidRPr="00AD4728" w:rsidRDefault="000366BD" w:rsidP="000A461C">
      <w:pPr>
        <w:pStyle w:val="BodyTextIndent"/>
        <w:ind w:left="0"/>
        <w:rPr>
          <w:sz w:val="22"/>
          <w:szCs w:val="22"/>
        </w:rPr>
      </w:pPr>
      <w:r>
        <w:rPr>
          <w:sz w:val="22"/>
          <w:szCs w:val="22"/>
        </w:rPr>
        <w:t>After completing the</w:t>
      </w:r>
      <w:r w:rsidR="00DC7AED" w:rsidRPr="00AD4728">
        <w:rPr>
          <w:sz w:val="22"/>
          <w:szCs w:val="22"/>
        </w:rPr>
        <w:t xml:space="preserve"> public </w:t>
      </w:r>
      <w:r w:rsidR="00A5167B">
        <w:rPr>
          <w:sz w:val="22"/>
          <w:szCs w:val="22"/>
        </w:rPr>
        <w:t xml:space="preserve">review and </w:t>
      </w:r>
      <w:r w:rsidR="00DC7AED" w:rsidRPr="00AD4728">
        <w:rPr>
          <w:sz w:val="22"/>
          <w:szCs w:val="22"/>
        </w:rPr>
        <w:t>comment process, t</w:t>
      </w:r>
      <w:r w:rsidR="009D5586" w:rsidRPr="00AD4728">
        <w:rPr>
          <w:sz w:val="22"/>
          <w:szCs w:val="22"/>
        </w:rPr>
        <w:t>he local government</w:t>
      </w:r>
      <w:r w:rsidR="00215BFB">
        <w:rPr>
          <w:sz w:val="22"/>
          <w:szCs w:val="22"/>
        </w:rPr>
        <w:t xml:space="preserve"> must make a decision on whether to approve the new facility as proposed, </w:t>
      </w:r>
      <w:r w:rsidR="001B50E8">
        <w:rPr>
          <w:sz w:val="22"/>
          <w:szCs w:val="22"/>
        </w:rPr>
        <w:t xml:space="preserve">to </w:t>
      </w:r>
      <w:r w:rsidR="00215BFB">
        <w:rPr>
          <w:sz w:val="22"/>
          <w:szCs w:val="22"/>
        </w:rPr>
        <w:t xml:space="preserve">ask the applicant to alter the proposal or </w:t>
      </w:r>
      <w:r w:rsidR="001B50E8">
        <w:rPr>
          <w:sz w:val="22"/>
          <w:szCs w:val="22"/>
        </w:rPr>
        <w:t xml:space="preserve">to </w:t>
      </w:r>
      <w:r w:rsidR="00215BFB">
        <w:rPr>
          <w:sz w:val="22"/>
          <w:szCs w:val="22"/>
        </w:rPr>
        <w:t xml:space="preserve">deny the proposal. If the new proposed facility is approved </w:t>
      </w:r>
      <w:r w:rsidR="00D76E00">
        <w:rPr>
          <w:sz w:val="22"/>
          <w:szCs w:val="22"/>
        </w:rPr>
        <w:t xml:space="preserve">in some form </w:t>
      </w:r>
      <w:r w:rsidR="00215BFB">
        <w:rPr>
          <w:sz w:val="22"/>
          <w:szCs w:val="22"/>
        </w:rPr>
        <w:t>by the local government, the local government</w:t>
      </w:r>
      <w:r w:rsidR="009D5586" w:rsidRPr="00AD4728">
        <w:rPr>
          <w:sz w:val="22"/>
          <w:szCs w:val="22"/>
        </w:rPr>
        <w:t xml:space="preserve"> may approve the </w:t>
      </w:r>
      <w:r w:rsidR="00A5167B">
        <w:rPr>
          <w:sz w:val="22"/>
          <w:szCs w:val="22"/>
        </w:rPr>
        <w:t xml:space="preserve">applicant’s </w:t>
      </w:r>
      <w:r w:rsidR="00CF13D8">
        <w:rPr>
          <w:sz w:val="22"/>
          <w:szCs w:val="22"/>
        </w:rPr>
        <w:t>DON</w:t>
      </w:r>
      <w:r w:rsidR="009D5586" w:rsidRPr="00AD4728">
        <w:rPr>
          <w:sz w:val="22"/>
          <w:szCs w:val="22"/>
        </w:rPr>
        <w:t xml:space="preserve"> as its “determination</w:t>
      </w:r>
      <w:r w:rsidR="0033369D">
        <w:rPr>
          <w:sz w:val="22"/>
          <w:szCs w:val="22"/>
        </w:rPr>
        <w:t xml:space="preserve"> of need</w:t>
      </w:r>
      <w:r w:rsidR="009D5586" w:rsidRPr="00AD4728">
        <w:rPr>
          <w:sz w:val="22"/>
          <w:szCs w:val="22"/>
        </w:rPr>
        <w:t>” or may adjust</w:t>
      </w:r>
      <w:r>
        <w:rPr>
          <w:sz w:val="22"/>
          <w:szCs w:val="22"/>
        </w:rPr>
        <w:t xml:space="preserve"> or supplement</w:t>
      </w:r>
      <w:r w:rsidR="009D5586" w:rsidRPr="00AD4728">
        <w:rPr>
          <w:sz w:val="22"/>
          <w:szCs w:val="22"/>
        </w:rPr>
        <w:t xml:space="preserve"> the demonstration before approving it as a final determination</w:t>
      </w:r>
      <w:r w:rsidR="00DC7AED" w:rsidRPr="00AD4728">
        <w:rPr>
          <w:sz w:val="22"/>
          <w:szCs w:val="22"/>
        </w:rPr>
        <w:t>.</w:t>
      </w:r>
      <w:r w:rsidR="009D5586" w:rsidRPr="00AD4728">
        <w:rPr>
          <w:sz w:val="22"/>
          <w:szCs w:val="22"/>
        </w:rPr>
        <w:t xml:space="preserve"> </w:t>
      </w:r>
    </w:p>
    <w:p w14:paraId="44A7D80E" w14:textId="77777777" w:rsidR="009D5586" w:rsidRPr="00AD4728" w:rsidRDefault="009D5586" w:rsidP="000A461C">
      <w:pPr>
        <w:pStyle w:val="BodyTextIndent"/>
        <w:ind w:left="0"/>
        <w:rPr>
          <w:sz w:val="22"/>
          <w:szCs w:val="22"/>
        </w:rPr>
      </w:pPr>
    </w:p>
    <w:p w14:paraId="76186334" w14:textId="77777777" w:rsidR="000A461C" w:rsidRDefault="00CF13D8" w:rsidP="000A461C">
      <w:pPr>
        <w:pStyle w:val="BodyTextIndent"/>
        <w:ind w:left="0"/>
        <w:rPr>
          <w:sz w:val="22"/>
          <w:szCs w:val="22"/>
        </w:rPr>
      </w:pPr>
      <w:r w:rsidRPr="00AD4728">
        <w:rPr>
          <w:sz w:val="22"/>
          <w:szCs w:val="22"/>
        </w:rPr>
        <w:t xml:space="preserve">The demonstration </w:t>
      </w:r>
      <w:r w:rsidR="00A5167B">
        <w:rPr>
          <w:sz w:val="22"/>
          <w:szCs w:val="22"/>
        </w:rPr>
        <w:t>o</w:t>
      </w:r>
      <w:r w:rsidR="00C41F88">
        <w:rPr>
          <w:sz w:val="22"/>
          <w:szCs w:val="22"/>
        </w:rPr>
        <w:t>f</w:t>
      </w:r>
      <w:r w:rsidR="00A5167B">
        <w:rPr>
          <w:sz w:val="22"/>
          <w:szCs w:val="22"/>
        </w:rPr>
        <w:t xml:space="preserve"> need </w:t>
      </w:r>
      <w:r w:rsidRPr="00AD4728">
        <w:rPr>
          <w:sz w:val="22"/>
          <w:szCs w:val="22"/>
        </w:rPr>
        <w:t>i</w:t>
      </w:r>
      <w:r w:rsidR="00A71F4E">
        <w:rPr>
          <w:sz w:val="22"/>
          <w:szCs w:val="22"/>
        </w:rPr>
        <w:t xml:space="preserve">s most relevant </w:t>
      </w:r>
      <w:r w:rsidRPr="00AD4728">
        <w:rPr>
          <w:sz w:val="22"/>
          <w:szCs w:val="22"/>
        </w:rPr>
        <w:t xml:space="preserve">in cases where new disposal capacity is being considered </w:t>
      </w:r>
      <w:r w:rsidR="00C41F88">
        <w:rPr>
          <w:sz w:val="22"/>
          <w:szCs w:val="22"/>
        </w:rPr>
        <w:t>(</w:t>
      </w:r>
      <w:r w:rsidRPr="00AD4728">
        <w:rPr>
          <w:sz w:val="22"/>
          <w:szCs w:val="22"/>
        </w:rPr>
        <w:t xml:space="preserve">as opposed to </w:t>
      </w:r>
      <w:r>
        <w:rPr>
          <w:sz w:val="22"/>
          <w:szCs w:val="22"/>
        </w:rPr>
        <w:t xml:space="preserve">facilities that involve the flow-through of wastes such as </w:t>
      </w:r>
      <w:r w:rsidRPr="00AD4728">
        <w:rPr>
          <w:sz w:val="22"/>
          <w:szCs w:val="22"/>
        </w:rPr>
        <w:t>processing or transfer activities</w:t>
      </w:r>
      <w:r w:rsidR="00C41F88">
        <w:rPr>
          <w:sz w:val="22"/>
          <w:szCs w:val="22"/>
        </w:rPr>
        <w:t>)</w:t>
      </w:r>
      <w:r w:rsidRPr="00AD4728">
        <w:rPr>
          <w:sz w:val="22"/>
          <w:szCs w:val="22"/>
        </w:rPr>
        <w:t>.</w:t>
      </w:r>
      <w:r>
        <w:rPr>
          <w:sz w:val="22"/>
          <w:szCs w:val="22"/>
        </w:rPr>
        <w:t xml:space="preserve">  Therefore</w:t>
      </w:r>
      <w:r w:rsidR="00AD4728">
        <w:rPr>
          <w:sz w:val="22"/>
          <w:szCs w:val="22"/>
        </w:rPr>
        <w:t xml:space="preserve">, MDEQ is providing this guidance to applicants to give more detailed information on how to address the conditions of state law for solid waste </w:t>
      </w:r>
      <w:r w:rsidR="00AD4728" w:rsidRPr="000366BD">
        <w:rPr>
          <w:sz w:val="22"/>
          <w:szCs w:val="22"/>
          <w:u w:val="single"/>
        </w:rPr>
        <w:t>disposal</w:t>
      </w:r>
      <w:r w:rsidR="00AD4728">
        <w:rPr>
          <w:sz w:val="22"/>
          <w:szCs w:val="22"/>
        </w:rPr>
        <w:t xml:space="preserve"> facilities</w:t>
      </w:r>
      <w:r w:rsidR="00C41F88">
        <w:rPr>
          <w:sz w:val="22"/>
          <w:szCs w:val="22"/>
        </w:rPr>
        <w:t xml:space="preserve"> (landfills and rubbish sites</w:t>
      </w:r>
      <w:r w:rsidR="00AD4728">
        <w:rPr>
          <w:sz w:val="22"/>
          <w:szCs w:val="22"/>
        </w:rPr>
        <w:t xml:space="preserve"> in particular</w:t>
      </w:r>
      <w:r w:rsidR="00C41F88">
        <w:rPr>
          <w:sz w:val="22"/>
          <w:szCs w:val="22"/>
        </w:rPr>
        <w:t>)</w:t>
      </w:r>
      <w:r w:rsidR="00AD4728">
        <w:rPr>
          <w:sz w:val="22"/>
          <w:szCs w:val="22"/>
        </w:rPr>
        <w:t xml:space="preserve">. </w:t>
      </w:r>
      <w:r w:rsidR="000A461C" w:rsidRPr="00AD4728">
        <w:rPr>
          <w:sz w:val="22"/>
          <w:szCs w:val="22"/>
        </w:rPr>
        <w:t>Whe</w:t>
      </w:r>
      <w:r w:rsidR="00AD4728" w:rsidRPr="00AD4728">
        <w:rPr>
          <w:sz w:val="22"/>
          <w:szCs w:val="22"/>
        </w:rPr>
        <w:t xml:space="preserve">n developing the </w:t>
      </w:r>
      <w:r>
        <w:rPr>
          <w:sz w:val="22"/>
          <w:szCs w:val="22"/>
        </w:rPr>
        <w:t>DON</w:t>
      </w:r>
      <w:r w:rsidR="000A461C" w:rsidRPr="00AD4728">
        <w:rPr>
          <w:sz w:val="22"/>
          <w:szCs w:val="22"/>
        </w:rPr>
        <w:t xml:space="preserve"> for a proposed new or expanded solid waste disposal facility for consideration by t</w:t>
      </w:r>
      <w:r w:rsidR="00AD4728">
        <w:rPr>
          <w:sz w:val="22"/>
          <w:szCs w:val="22"/>
        </w:rPr>
        <w:t>he local government, the MDEQ r</w:t>
      </w:r>
      <w:r w:rsidR="000A461C" w:rsidRPr="00AD4728">
        <w:rPr>
          <w:sz w:val="22"/>
          <w:szCs w:val="22"/>
        </w:rPr>
        <w:t>equests that the applicant, at minimum, follow these</w:t>
      </w:r>
      <w:r w:rsidR="00FC6FCF" w:rsidRPr="00AD4728">
        <w:rPr>
          <w:sz w:val="22"/>
          <w:szCs w:val="22"/>
        </w:rPr>
        <w:t xml:space="preserve"> steps in responding to the five components </w:t>
      </w:r>
      <w:r w:rsidR="00AD4728">
        <w:rPr>
          <w:sz w:val="22"/>
          <w:szCs w:val="22"/>
        </w:rPr>
        <w:t xml:space="preserve">described </w:t>
      </w:r>
      <w:r w:rsidR="00FC6FCF" w:rsidRPr="00AD4728">
        <w:rPr>
          <w:sz w:val="22"/>
          <w:szCs w:val="22"/>
        </w:rPr>
        <w:t xml:space="preserve">in state law.  </w:t>
      </w:r>
      <w:r w:rsidR="000A461C" w:rsidRPr="00AD4728">
        <w:rPr>
          <w:sz w:val="22"/>
          <w:szCs w:val="22"/>
        </w:rPr>
        <w:t xml:space="preserve"> </w:t>
      </w:r>
    </w:p>
    <w:p w14:paraId="20A2C518" w14:textId="77777777" w:rsidR="00AD4728" w:rsidRDefault="00AD4728" w:rsidP="000A461C">
      <w:pPr>
        <w:pStyle w:val="BodyTextIndent"/>
        <w:ind w:left="0"/>
        <w:rPr>
          <w:sz w:val="22"/>
          <w:szCs w:val="22"/>
        </w:rPr>
      </w:pPr>
    </w:p>
    <w:p w14:paraId="1F6FDF4B" w14:textId="77777777" w:rsidR="00AD4728" w:rsidRDefault="00AD4728" w:rsidP="000A461C">
      <w:pPr>
        <w:pStyle w:val="BodyTextIndent"/>
        <w:ind w:left="0"/>
        <w:rPr>
          <w:sz w:val="22"/>
          <w:szCs w:val="22"/>
        </w:rPr>
      </w:pPr>
      <w:r>
        <w:rPr>
          <w:sz w:val="22"/>
          <w:szCs w:val="22"/>
        </w:rPr>
        <w:t xml:space="preserve">Should an applicant wish to discuss the steps for developing a </w:t>
      </w:r>
      <w:r w:rsidR="005D00F5">
        <w:rPr>
          <w:sz w:val="22"/>
          <w:szCs w:val="22"/>
        </w:rPr>
        <w:t>DON</w:t>
      </w:r>
      <w:r>
        <w:rPr>
          <w:sz w:val="22"/>
          <w:szCs w:val="22"/>
        </w:rPr>
        <w:t>, MDEQ planning staff is available to provide further information and clarification on this process. Contact MDEQ staff at:</w:t>
      </w:r>
    </w:p>
    <w:p w14:paraId="21D61538" w14:textId="77777777" w:rsidR="00AD4728" w:rsidRDefault="00AD4728" w:rsidP="000A461C">
      <w:pPr>
        <w:pStyle w:val="BodyTextIndent"/>
        <w:ind w:left="0"/>
        <w:rPr>
          <w:sz w:val="22"/>
          <w:szCs w:val="22"/>
        </w:rPr>
      </w:pPr>
    </w:p>
    <w:p w14:paraId="2CF8B812" w14:textId="77777777" w:rsidR="00AD4728" w:rsidRDefault="00AD4728" w:rsidP="000A461C">
      <w:pPr>
        <w:pStyle w:val="BodyTextIndent"/>
        <w:ind w:left="0"/>
        <w:rPr>
          <w:sz w:val="22"/>
          <w:szCs w:val="22"/>
        </w:rPr>
      </w:pPr>
      <w:r>
        <w:rPr>
          <w:sz w:val="22"/>
          <w:szCs w:val="22"/>
        </w:rPr>
        <w:t>Mississippi Department of Environmental Quality</w:t>
      </w:r>
    </w:p>
    <w:p w14:paraId="5CBA6341" w14:textId="77777777" w:rsidR="00AD4728" w:rsidRDefault="00AD4728" w:rsidP="000A461C">
      <w:pPr>
        <w:pStyle w:val="BodyTextIndent"/>
        <w:ind w:left="0"/>
        <w:rPr>
          <w:sz w:val="22"/>
          <w:szCs w:val="22"/>
        </w:rPr>
      </w:pPr>
      <w:r>
        <w:rPr>
          <w:sz w:val="22"/>
          <w:szCs w:val="22"/>
        </w:rPr>
        <w:t>So</w:t>
      </w:r>
      <w:r w:rsidR="00534491">
        <w:rPr>
          <w:sz w:val="22"/>
          <w:szCs w:val="22"/>
        </w:rPr>
        <w:t>lid Waste Policy, Planning and Special Programs Branch</w:t>
      </w:r>
    </w:p>
    <w:p w14:paraId="757E90D9" w14:textId="77777777" w:rsidR="00AD4728" w:rsidRDefault="00AD4728" w:rsidP="000A461C">
      <w:pPr>
        <w:pStyle w:val="BodyTextIndent"/>
        <w:ind w:left="0"/>
        <w:rPr>
          <w:sz w:val="22"/>
          <w:szCs w:val="22"/>
        </w:rPr>
      </w:pPr>
      <w:r>
        <w:rPr>
          <w:sz w:val="22"/>
          <w:szCs w:val="22"/>
        </w:rPr>
        <w:t>P.O. Box 2261</w:t>
      </w:r>
    </w:p>
    <w:p w14:paraId="1387C5AD" w14:textId="77777777" w:rsidR="00AD4728" w:rsidRDefault="00AD4728" w:rsidP="000A461C">
      <w:pPr>
        <w:pStyle w:val="BodyTextIndent"/>
        <w:ind w:left="0"/>
        <w:rPr>
          <w:sz w:val="22"/>
          <w:szCs w:val="22"/>
        </w:rPr>
      </w:pPr>
      <w:r>
        <w:rPr>
          <w:sz w:val="22"/>
          <w:szCs w:val="22"/>
        </w:rPr>
        <w:t>Jackson, MS 39225</w:t>
      </w:r>
    </w:p>
    <w:p w14:paraId="5AB7469A" w14:textId="77777777" w:rsidR="00AD4728" w:rsidRDefault="00AD4728" w:rsidP="000A461C">
      <w:pPr>
        <w:pStyle w:val="BodyTextIndent"/>
        <w:ind w:left="0"/>
        <w:rPr>
          <w:sz w:val="22"/>
          <w:szCs w:val="22"/>
        </w:rPr>
      </w:pPr>
    </w:p>
    <w:p w14:paraId="441C6A19" w14:textId="25CDA609" w:rsidR="00AD4728" w:rsidRPr="008C1387" w:rsidRDefault="000B1227" w:rsidP="000A461C">
      <w:pPr>
        <w:pStyle w:val="BodyTextIndent"/>
        <w:ind w:left="0"/>
        <w:rPr>
          <w:sz w:val="22"/>
          <w:szCs w:val="22"/>
          <w:u w:val="single"/>
        </w:rPr>
      </w:pPr>
      <w:r>
        <w:rPr>
          <w:sz w:val="22"/>
          <w:szCs w:val="22"/>
          <w:u w:val="single"/>
        </w:rPr>
        <w:t>Branch Manager</w:t>
      </w:r>
    </w:p>
    <w:p w14:paraId="111F06FE" w14:textId="23F92118" w:rsidR="00AD4728" w:rsidRDefault="00534491" w:rsidP="000A461C">
      <w:pPr>
        <w:pStyle w:val="BodyTextIndent"/>
        <w:ind w:left="0"/>
        <w:rPr>
          <w:sz w:val="22"/>
          <w:szCs w:val="22"/>
        </w:rPr>
      </w:pPr>
      <w:r>
        <w:rPr>
          <w:sz w:val="22"/>
          <w:szCs w:val="22"/>
        </w:rPr>
        <w:t>Charlie Bock</w:t>
      </w:r>
      <w:r w:rsidR="00AD4728">
        <w:rPr>
          <w:sz w:val="22"/>
          <w:szCs w:val="22"/>
        </w:rPr>
        <w:t xml:space="preserve"> – 601-961-5</w:t>
      </w:r>
      <w:r w:rsidR="000B1227">
        <w:rPr>
          <w:sz w:val="22"/>
          <w:szCs w:val="22"/>
        </w:rPr>
        <w:t>232</w:t>
      </w:r>
    </w:p>
    <w:p w14:paraId="6E5C03CE" w14:textId="77777777" w:rsidR="00AD4728" w:rsidRDefault="00534491" w:rsidP="000A461C">
      <w:pPr>
        <w:pStyle w:val="BodyTextIndent"/>
        <w:ind w:left="0"/>
        <w:rPr>
          <w:sz w:val="22"/>
          <w:szCs w:val="22"/>
        </w:rPr>
      </w:pPr>
      <w:r>
        <w:rPr>
          <w:sz w:val="22"/>
          <w:szCs w:val="22"/>
        </w:rPr>
        <w:t>cbock@mdeq.ms.gov</w:t>
      </w:r>
    </w:p>
    <w:p w14:paraId="5B0AE541" w14:textId="77777777" w:rsidR="00AD4728" w:rsidRDefault="00AD4728" w:rsidP="000A461C">
      <w:pPr>
        <w:pStyle w:val="BodyTextIndent"/>
        <w:ind w:left="0"/>
        <w:rPr>
          <w:sz w:val="22"/>
          <w:szCs w:val="22"/>
        </w:rPr>
      </w:pPr>
    </w:p>
    <w:p w14:paraId="4C09CC59" w14:textId="77777777" w:rsidR="00AD4728" w:rsidRDefault="00AD4728" w:rsidP="000A461C">
      <w:pPr>
        <w:pStyle w:val="BodyTextIndent"/>
        <w:ind w:left="0"/>
        <w:rPr>
          <w:sz w:val="22"/>
          <w:szCs w:val="22"/>
          <w:u w:val="single"/>
        </w:rPr>
      </w:pPr>
      <w:r w:rsidRPr="008C1387">
        <w:rPr>
          <w:sz w:val="22"/>
          <w:szCs w:val="22"/>
          <w:u w:val="single"/>
        </w:rPr>
        <w:t>North Region Planning Engineer</w:t>
      </w:r>
    </w:p>
    <w:p w14:paraId="2EF15517" w14:textId="6D73B856" w:rsidR="00337DCA" w:rsidRDefault="005F3F5F" w:rsidP="000A461C">
      <w:pPr>
        <w:pStyle w:val="BodyTextIndent"/>
        <w:ind w:left="0"/>
        <w:rPr>
          <w:sz w:val="22"/>
          <w:szCs w:val="22"/>
        </w:rPr>
      </w:pPr>
      <w:r>
        <w:rPr>
          <w:sz w:val="22"/>
          <w:szCs w:val="22"/>
        </w:rPr>
        <w:t>Cole Montgomery – 601-961-5783</w:t>
      </w:r>
    </w:p>
    <w:p w14:paraId="7B5A1643" w14:textId="1372B1B7" w:rsidR="00534491" w:rsidRPr="00337DCA" w:rsidRDefault="00534491" w:rsidP="000A461C">
      <w:pPr>
        <w:pStyle w:val="BodyTextIndent"/>
        <w:ind w:left="0"/>
        <w:rPr>
          <w:sz w:val="22"/>
          <w:szCs w:val="22"/>
        </w:rPr>
      </w:pPr>
      <w:r>
        <w:rPr>
          <w:sz w:val="22"/>
          <w:szCs w:val="22"/>
        </w:rPr>
        <w:t>c</w:t>
      </w:r>
      <w:r w:rsidR="005F3F5F">
        <w:rPr>
          <w:sz w:val="22"/>
          <w:szCs w:val="22"/>
        </w:rPr>
        <w:t>montgomery</w:t>
      </w:r>
      <w:r>
        <w:rPr>
          <w:sz w:val="22"/>
          <w:szCs w:val="22"/>
        </w:rPr>
        <w:t>@mdeq.ms.gov</w:t>
      </w:r>
    </w:p>
    <w:p w14:paraId="4A151069" w14:textId="77777777" w:rsidR="00AD4728" w:rsidRDefault="00AD4728" w:rsidP="000A461C">
      <w:pPr>
        <w:pStyle w:val="BodyTextIndent"/>
        <w:ind w:left="0"/>
        <w:rPr>
          <w:sz w:val="22"/>
          <w:szCs w:val="22"/>
        </w:rPr>
      </w:pPr>
    </w:p>
    <w:p w14:paraId="25236097" w14:textId="77777777" w:rsidR="00AD4728" w:rsidRPr="008C1387" w:rsidRDefault="00AD4728" w:rsidP="000A461C">
      <w:pPr>
        <w:pStyle w:val="BodyTextIndent"/>
        <w:ind w:left="0"/>
        <w:rPr>
          <w:sz w:val="22"/>
          <w:szCs w:val="22"/>
          <w:u w:val="single"/>
        </w:rPr>
      </w:pPr>
      <w:r w:rsidRPr="008C1387">
        <w:rPr>
          <w:sz w:val="22"/>
          <w:szCs w:val="22"/>
          <w:u w:val="single"/>
        </w:rPr>
        <w:t>Central Region Planning Engineer</w:t>
      </w:r>
    </w:p>
    <w:p w14:paraId="2020E39C" w14:textId="444AF771" w:rsidR="00AD4728" w:rsidRDefault="000F27AC" w:rsidP="000A461C">
      <w:pPr>
        <w:pStyle w:val="BodyTextIndent"/>
        <w:ind w:left="0"/>
        <w:rPr>
          <w:sz w:val="22"/>
          <w:szCs w:val="22"/>
        </w:rPr>
      </w:pPr>
      <w:r>
        <w:rPr>
          <w:sz w:val="22"/>
          <w:szCs w:val="22"/>
        </w:rPr>
        <w:t>[Currently Vacant]</w:t>
      </w:r>
    </w:p>
    <w:p w14:paraId="28C88AED" w14:textId="77777777" w:rsidR="00AD4728" w:rsidRDefault="00AD4728" w:rsidP="000A461C">
      <w:pPr>
        <w:pStyle w:val="BodyTextIndent"/>
        <w:ind w:left="0"/>
        <w:rPr>
          <w:sz w:val="22"/>
          <w:szCs w:val="22"/>
        </w:rPr>
      </w:pPr>
    </w:p>
    <w:p w14:paraId="308662DE" w14:textId="77777777" w:rsidR="00AD4728" w:rsidRPr="008C1387" w:rsidRDefault="00AD4728" w:rsidP="000A461C">
      <w:pPr>
        <w:pStyle w:val="BodyTextIndent"/>
        <w:ind w:left="0"/>
        <w:rPr>
          <w:sz w:val="22"/>
          <w:szCs w:val="22"/>
          <w:u w:val="single"/>
        </w:rPr>
      </w:pPr>
      <w:r w:rsidRPr="008C1387">
        <w:rPr>
          <w:sz w:val="22"/>
          <w:szCs w:val="22"/>
          <w:u w:val="single"/>
        </w:rPr>
        <w:t>South Region Planning Engineer</w:t>
      </w:r>
    </w:p>
    <w:p w14:paraId="2E8B9E0A" w14:textId="77777777" w:rsidR="00AD4728" w:rsidRDefault="00887FD0" w:rsidP="000A461C">
      <w:pPr>
        <w:pStyle w:val="BodyTextIndent"/>
        <w:ind w:left="0"/>
        <w:rPr>
          <w:sz w:val="22"/>
          <w:szCs w:val="22"/>
        </w:rPr>
      </w:pPr>
      <w:r>
        <w:rPr>
          <w:sz w:val="22"/>
          <w:szCs w:val="22"/>
        </w:rPr>
        <w:t>Ryan Case</w:t>
      </w:r>
      <w:r w:rsidR="00027B43">
        <w:rPr>
          <w:sz w:val="22"/>
          <w:szCs w:val="22"/>
        </w:rPr>
        <w:t xml:space="preserve"> – 601-961-55</w:t>
      </w:r>
      <w:r>
        <w:rPr>
          <w:sz w:val="22"/>
          <w:szCs w:val="22"/>
        </w:rPr>
        <w:t>37</w:t>
      </w:r>
    </w:p>
    <w:p w14:paraId="3D3AB2BC" w14:textId="77777777" w:rsidR="00737CF0" w:rsidRDefault="00534491" w:rsidP="000A461C">
      <w:pPr>
        <w:pStyle w:val="BodyTextIndent"/>
        <w:ind w:left="0"/>
        <w:rPr>
          <w:sz w:val="22"/>
          <w:szCs w:val="22"/>
        </w:rPr>
      </w:pPr>
      <w:r>
        <w:rPr>
          <w:sz w:val="22"/>
          <w:szCs w:val="22"/>
        </w:rPr>
        <w:t>rcase@mdeq.ms.gov</w:t>
      </w:r>
    </w:p>
    <w:p w14:paraId="0FE7AC9E" w14:textId="77777777" w:rsidR="00534491" w:rsidRDefault="00534491" w:rsidP="00887FD0">
      <w:pPr>
        <w:pStyle w:val="BodyTextIndent"/>
        <w:ind w:left="0"/>
        <w:jc w:val="center"/>
        <w:rPr>
          <w:b/>
          <w:sz w:val="28"/>
          <w:szCs w:val="28"/>
        </w:rPr>
      </w:pPr>
    </w:p>
    <w:p w14:paraId="45D5E677" w14:textId="77777777" w:rsidR="00AD4728" w:rsidRPr="00A7185A" w:rsidRDefault="00887FD0" w:rsidP="00887FD0">
      <w:pPr>
        <w:pStyle w:val="BodyTextIndent"/>
        <w:ind w:left="0"/>
        <w:jc w:val="center"/>
        <w:rPr>
          <w:b/>
          <w:sz w:val="28"/>
          <w:szCs w:val="28"/>
        </w:rPr>
      </w:pPr>
      <w:r w:rsidRPr="00A7185A">
        <w:rPr>
          <w:b/>
          <w:sz w:val="28"/>
          <w:szCs w:val="28"/>
        </w:rPr>
        <w:t xml:space="preserve">Steps to Develop </w:t>
      </w:r>
      <w:r w:rsidR="00A7185A">
        <w:rPr>
          <w:b/>
          <w:sz w:val="28"/>
          <w:szCs w:val="28"/>
        </w:rPr>
        <w:t xml:space="preserve">a </w:t>
      </w:r>
      <w:r w:rsidRPr="00A7185A">
        <w:rPr>
          <w:b/>
          <w:sz w:val="28"/>
          <w:szCs w:val="28"/>
        </w:rPr>
        <w:t>Demonstration of Need</w:t>
      </w:r>
    </w:p>
    <w:p w14:paraId="39F73E7E" w14:textId="77777777" w:rsidR="00887FD0" w:rsidRDefault="00887FD0" w:rsidP="00FC6FCF">
      <w:pPr>
        <w:pStyle w:val="BodyTextIndent"/>
        <w:ind w:left="0"/>
        <w:rPr>
          <w:b/>
          <w:sz w:val="22"/>
          <w:szCs w:val="22"/>
          <w:u w:val="single"/>
        </w:rPr>
      </w:pPr>
    </w:p>
    <w:p w14:paraId="5D254AC1" w14:textId="77777777" w:rsidR="00FC6FCF" w:rsidRPr="00AD4728" w:rsidRDefault="000A461C" w:rsidP="00FC6FCF">
      <w:pPr>
        <w:pStyle w:val="BodyTextIndent"/>
        <w:ind w:left="0"/>
        <w:rPr>
          <w:sz w:val="22"/>
          <w:szCs w:val="22"/>
        </w:rPr>
      </w:pPr>
      <w:r w:rsidRPr="00AD4728">
        <w:rPr>
          <w:b/>
          <w:sz w:val="22"/>
          <w:szCs w:val="22"/>
          <w:u w:val="single"/>
        </w:rPr>
        <w:t xml:space="preserve">Item </w:t>
      </w:r>
      <w:r w:rsidR="00737CF0">
        <w:rPr>
          <w:b/>
          <w:sz w:val="22"/>
          <w:szCs w:val="22"/>
          <w:u w:val="single"/>
        </w:rPr>
        <w:t>1</w:t>
      </w:r>
      <w:r w:rsidRPr="00AD4728">
        <w:rPr>
          <w:b/>
          <w:sz w:val="22"/>
          <w:szCs w:val="22"/>
          <w:u w:val="single"/>
        </w:rPr>
        <w:t xml:space="preserve"> </w:t>
      </w:r>
      <w:r w:rsidR="00FC6FCF" w:rsidRPr="000F3C9E">
        <w:rPr>
          <w:b/>
          <w:sz w:val="22"/>
          <w:szCs w:val="22"/>
        </w:rPr>
        <w:t xml:space="preserve">- </w:t>
      </w:r>
      <w:r w:rsidR="00FC6FCF" w:rsidRPr="00AD4728">
        <w:rPr>
          <w:b/>
          <w:sz w:val="22"/>
          <w:szCs w:val="22"/>
        </w:rPr>
        <w:t>Verification that the proposed facility meets needs identified in the approved local nonhazardous solid waste management plan which shall take into account quantities of municipal solid waste generated and the design capacities of existing facilities;</w:t>
      </w:r>
    </w:p>
    <w:p w14:paraId="7AB1A5ED" w14:textId="77777777" w:rsidR="000A461C" w:rsidRPr="00AD4728" w:rsidRDefault="000A461C" w:rsidP="000A461C">
      <w:pPr>
        <w:pStyle w:val="BodyTextIndent"/>
        <w:ind w:left="0"/>
        <w:rPr>
          <w:b/>
          <w:sz w:val="22"/>
          <w:szCs w:val="22"/>
          <w:u w:val="single"/>
        </w:rPr>
      </w:pPr>
    </w:p>
    <w:p w14:paraId="0C3770CF" w14:textId="77777777" w:rsidR="000A461C" w:rsidRPr="00AD4728" w:rsidRDefault="000A461C" w:rsidP="000A461C">
      <w:pPr>
        <w:pStyle w:val="BodyTextIndent"/>
        <w:ind w:left="0"/>
        <w:rPr>
          <w:sz w:val="22"/>
          <w:szCs w:val="22"/>
        </w:rPr>
      </w:pPr>
      <w:r w:rsidRPr="00AD4728">
        <w:rPr>
          <w:sz w:val="22"/>
          <w:szCs w:val="22"/>
        </w:rPr>
        <w:t>MDEQ recommends that applicants consider the following steps to account for local waste generation rates and existing local disposal capacity</w:t>
      </w:r>
      <w:r w:rsidR="005D00F5">
        <w:rPr>
          <w:sz w:val="22"/>
          <w:szCs w:val="22"/>
        </w:rPr>
        <w:t xml:space="preserve">. The results of this </w:t>
      </w:r>
      <w:r w:rsidR="00027B43">
        <w:rPr>
          <w:sz w:val="22"/>
          <w:szCs w:val="22"/>
        </w:rPr>
        <w:t xml:space="preserve">demonstration should help </w:t>
      </w:r>
      <w:r w:rsidR="00534491">
        <w:rPr>
          <w:sz w:val="22"/>
          <w:szCs w:val="22"/>
        </w:rPr>
        <w:t>support</w:t>
      </w:r>
      <w:r w:rsidR="0005356B" w:rsidRPr="00AD4728">
        <w:rPr>
          <w:sz w:val="22"/>
          <w:szCs w:val="22"/>
        </w:rPr>
        <w:t xml:space="preserve"> </w:t>
      </w:r>
      <w:r w:rsidRPr="00AD4728">
        <w:rPr>
          <w:sz w:val="22"/>
          <w:szCs w:val="22"/>
        </w:rPr>
        <w:t xml:space="preserve">the need for a proposed </w:t>
      </w:r>
      <w:r w:rsidR="00184A6A" w:rsidRPr="00AD4728">
        <w:rPr>
          <w:sz w:val="22"/>
          <w:szCs w:val="22"/>
        </w:rPr>
        <w:t>new or expanded disposal site</w:t>
      </w:r>
      <w:r w:rsidR="00783BF6">
        <w:rPr>
          <w:sz w:val="22"/>
          <w:szCs w:val="22"/>
        </w:rPr>
        <w:t xml:space="preserve"> to the local government or planning jurisdiction</w:t>
      </w:r>
      <w:r w:rsidRPr="00AD4728">
        <w:rPr>
          <w:sz w:val="22"/>
          <w:szCs w:val="22"/>
        </w:rPr>
        <w:t>.</w:t>
      </w:r>
      <w:r w:rsidR="00027B43">
        <w:rPr>
          <w:sz w:val="22"/>
          <w:szCs w:val="22"/>
        </w:rPr>
        <w:t xml:space="preserve"> </w:t>
      </w:r>
      <w:r w:rsidR="00AA0B2E">
        <w:rPr>
          <w:sz w:val="22"/>
          <w:szCs w:val="22"/>
        </w:rPr>
        <w:t xml:space="preserve">(See Examples on Page 6). </w:t>
      </w:r>
    </w:p>
    <w:p w14:paraId="45EF647B" w14:textId="77777777" w:rsidR="000A461C" w:rsidRPr="00AD4728" w:rsidRDefault="000A461C" w:rsidP="000A461C">
      <w:pPr>
        <w:pStyle w:val="BodyTextIndent"/>
        <w:ind w:left="720"/>
        <w:rPr>
          <w:sz w:val="22"/>
          <w:szCs w:val="22"/>
        </w:rPr>
      </w:pPr>
    </w:p>
    <w:p w14:paraId="0BEE8DC4" w14:textId="77777777" w:rsidR="000A461C" w:rsidRDefault="000A461C" w:rsidP="000A461C">
      <w:pPr>
        <w:pStyle w:val="BodyTextIndent"/>
        <w:numPr>
          <w:ilvl w:val="0"/>
          <w:numId w:val="1"/>
        </w:numPr>
        <w:tabs>
          <w:tab w:val="left" w:pos="1080"/>
        </w:tabs>
        <w:rPr>
          <w:sz w:val="22"/>
          <w:szCs w:val="22"/>
        </w:rPr>
      </w:pPr>
      <w:r w:rsidRPr="00AD4728">
        <w:rPr>
          <w:sz w:val="22"/>
          <w:szCs w:val="22"/>
        </w:rPr>
        <w:t xml:space="preserve">Determine the estimated </w:t>
      </w:r>
      <w:r w:rsidR="004B3960">
        <w:rPr>
          <w:sz w:val="22"/>
          <w:szCs w:val="22"/>
        </w:rPr>
        <w:t xml:space="preserve">maximum </w:t>
      </w:r>
      <w:r w:rsidRPr="00AD4728">
        <w:rPr>
          <w:sz w:val="22"/>
          <w:szCs w:val="22"/>
        </w:rPr>
        <w:t>waste disposal</w:t>
      </w:r>
      <w:r w:rsidR="00737CF0">
        <w:rPr>
          <w:sz w:val="22"/>
          <w:szCs w:val="22"/>
        </w:rPr>
        <w:t xml:space="preserve"> design</w:t>
      </w:r>
      <w:r w:rsidRPr="00AD4728">
        <w:rPr>
          <w:sz w:val="22"/>
          <w:szCs w:val="22"/>
        </w:rPr>
        <w:t xml:space="preserve"> capacity of the proposed disposal facility in cubic yards. The disposal capacity should generally be calculated </w:t>
      </w:r>
      <w:r w:rsidR="00184A6A" w:rsidRPr="00AD4728">
        <w:rPr>
          <w:sz w:val="22"/>
          <w:szCs w:val="22"/>
        </w:rPr>
        <w:t xml:space="preserve">by </w:t>
      </w:r>
      <w:r w:rsidRPr="00AD4728">
        <w:rPr>
          <w:sz w:val="22"/>
          <w:szCs w:val="22"/>
        </w:rPr>
        <w:t xml:space="preserve">considering the maximum design depth, </w:t>
      </w:r>
      <w:r w:rsidR="004B3960">
        <w:rPr>
          <w:sz w:val="22"/>
          <w:szCs w:val="22"/>
        </w:rPr>
        <w:t xml:space="preserve">maximum design </w:t>
      </w:r>
      <w:r w:rsidRPr="00AD4728">
        <w:rPr>
          <w:sz w:val="22"/>
          <w:szCs w:val="22"/>
        </w:rPr>
        <w:t xml:space="preserve">height, and lateral disposal footprint of the proposed disposal area with </w:t>
      </w:r>
      <w:r w:rsidR="00C42B54">
        <w:rPr>
          <w:sz w:val="22"/>
          <w:szCs w:val="22"/>
        </w:rPr>
        <w:t>considerations</w:t>
      </w:r>
      <w:r w:rsidR="00C42B54" w:rsidRPr="00AD4728">
        <w:rPr>
          <w:sz w:val="22"/>
          <w:szCs w:val="22"/>
        </w:rPr>
        <w:t xml:space="preserve"> </w:t>
      </w:r>
      <w:r w:rsidRPr="00AD4728">
        <w:rPr>
          <w:sz w:val="22"/>
          <w:szCs w:val="22"/>
        </w:rPr>
        <w:t>for inte</w:t>
      </w:r>
      <w:r w:rsidR="0005356B" w:rsidRPr="00AD4728">
        <w:rPr>
          <w:sz w:val="22"/>
          <w:szCs w:val="22"/>
        </w:rPr>
        <w:t>rnal and external side slopes.</w:t>
      </w:r>
      <w:r w:rsidR="00471F64">
        <w:rPr>
          <w:sz w:val="22"/>
          <w:szCs w:val="22"/>
        </w:rPr>
        <w:t xml:space="preserve"> (Note: External slopes are generally restricted to 25% or less. While internal slopes do not have a regulatory restriction, internal slopes generally do not exceed 33%). </w:t>
      </w:r>
      <w:r w:rsidR="0005356B" w:rsidRPr="00AD4728">
        <w:rPr>
          <w:sz w:val="22"/>
          <w:szCs w:val="22"/>
        </w:rPr>
        <w:t xml:space="preserve"> (Attach additional pages</w:t>
      </w:r>
      <w:r w:rsidR="00471F64">
        <w:rPr>
          <w:sz w:val="22"/>
          <w:szCs w:val="22"/>
        </w:rPr>
        <w:t xml:space="preserve"> where</w:t>
      </w:r>
      <w:r w:rsidR="0005356B" w:rsidRPr="00AD4728">
        <w:rPr>
          <w:sz w:val="22"/>
          <w:szCs w:val="22"/>
        </w:rPr>
        <w:t xml:space="preserve"> necessary).</w:t>
      </w:r>
    </w:p>
    <w:p w14:paraId="59C14BD4" w14:textId="77777777" w:rsidR="00262896" w:rsidRPr="00AD4728" w:rsidRDefault="00262896" w:rsidP="00262896">
      <w:pPr>
        <w:pStyle w:val="BodyTextIndent"/>
        <w:tabs>
          <w:tab w:val="left" w:pos="1080"/>
        </w:tabs>
        <w:rPr>
          <w:sz w:val="22"/>
          <w:szCs w:val="22"/>
        </w:rPr>
      </w:pPr>
    </w:p>
    <w:p w14:paraId="6786E39F" w14:textId="77777777" w:rsidR="00262896" w:rsidRPr="00AD4728" w:rsidRDefault="00262896" w:rsidP="00262896">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3CD74246" w14:textId="77777777" w:rsidR="00262896" w:rsidRPr="00AD4728" w:rsidRDefault="00262896" w:rsidP="00262896">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29164668" w14:textId="77777777" w:rsidR="00262896" w:rsidRDefault="00262896" w:rsidP="00262896">
      <w:pPr>
        <w:pStyle w:val="BodyTextIndent"/>
        <w:tabs>
          <w:tab w:val="left" w:pos="360"/>
        </w:tabs>
        <w:rPr>
          <w:sz w:val="22"/>
          <w:szCs w:val="22"/>
          <w:u w:val="single"/>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5697C87D" w14:textId="77777777" w:rsidR="000A461C" w:rsidRPr="00AD4728" w:rsidRDefault="000A461C" w:rsidP="00FC6FCF">
      <w:pPr>
        <w:pStyle w:val="BodyTextIndent"/>
        <w:tabs>
          <w:tab w:val="left" w:pos="1080"/>
        </w:tabs>
        <w:ind w:left="0"/>
        <w:rPr>
          <w:sz w:val="22"/>
          <w:szCs w:val="22"/>
        </w:rPr>
      </w:pPr>
      <w:r w:rsidRPr="00AD4728">
        <w:rPr>
          <w:sz w:val="22"/>
          <w:szCs w:val="22"/>
        </w:rPr>
        <w:t xml:space="preserve">  </w:t>
      </w:r>
    </w:p>
    <w:p w14:paraId="17F352E8" w14:textId="77777777" w:rsidR="00737CF0" w:rsidRDefault="00737CF0" w:rsidP="004B4D69">
      <w:pPr>
        <w:pStyle w:val="BodyTextIndent"/>
        <w:tabs>
          <w:tab w:val="left" w:pos="1080"/>
        </w:tabs>
        <w:rPr>
          <w:sz w:val="22"/>
          <w:szCs w:val="22"/>
        </w:rPr>
      </w:pPr>
      <w:r>
        <w:rPr>
          <w:i/>
          <w:sz w:val="22"/>
          <w:szCs w:val="22"/>
        </w:rPr>
        <w:t xml:space="preserve">Adjust the Design Capacity for </w:t>
      </w:r>
      <w:r w:rsidRPr="00027B43">
        <w:rPr>
          <w:i/>
          <w:sz w:val="22"/>
          <w:szCs w:val="22"/>
        </w:rPr>
        <w:t>Cover</w:t>
      </w:r>
      <w:r w:rsidR="004B4D69">
        <w:rPr>
          <w:i/>
          <w:sz w:val="22"/>
          <w:szCs w:val="22"/>
        </w:rPr>
        <w:t xml:space="preserve"> volumes</w:t>
      </w:r>
      <w:r>
        <w:rPr>
          <w:sz w:val="22"/>
          <w:szCs w:val="22"/>
        </w:rPr>
        <w:t xml:space="preserve">:  </w:t>
      </w:r>
      <w:r w:rsidRPr="00887FD0">
        <w:rPr>
          <w:sz w:val="22"/>
          <w:szCs w:val="22"/>
        </w:rPr>
        <w:t>The anticipated annual volume of cover material</w:t>
      </w:r>
      <w:r w:rsidRPr="00887FD0" w:rsidDel="0055113B">
        <w:rPr>
          <w:sz w:val="22"/>
          <w:szCs w:val="22"/>
        </w:rPr>
        <w:t xml:space="preserve"> </w:t>
      </w:r>
      <w:r w:rsidRPr="00887FD0">
        <w:rPr>
          <w:sz w:val="22"/>
          <w:szCs w:val="22"/>
        </w:rPr>
        <w:t>should be estimated. The earthen cover</w:t>
      </w:r>
      <w:r>
        <w:rPr>
          <w:sz w:val="22"/>
          <w:szCs w:val="22"/>
        </w:rPr>
        <w:t xml:space="preserve"> factor will</w:t>
      </w:r>
      <w:r w:rsidRPr="00887FD0">
        <w:rPr>
          <w:sz w:val="22"/>
          <w:szCs w:val="22"/>
        </w:rPr>
        <w:t xml:space="preserve"> vary from site to site based on the frequency of routine c</w:t>
      </w:r>
      <w:r>
        <w:rPr>
          <w:sz w:val="22"/>
          <w:szCs w:val="22"/>
        </w:rPr>
        <w:t xml:space="preserve">over, the use of alternate temporary covers and the volume of interim or final cover applied. The range is typically from 5 to 15% of the overall capacity of the site.  </w:t>
      </w:r>
      <w:r w:rsidRPr="00887FD0">
        <w:rPr>
          <w:sz w:val="22"/>
          <w:szCs w:val="22"/>
        </w:rPr>
        <w:t xml:space="preserve">The amount of cover material used over the life of the facility </w:t>
      </w:r>
      <w:r>
        <w:rPr>
          <w:sz w:val="22"/>
          <w:szCs w:val="22"/>
        </w:rPr>
        <w:t>will affect the disposal capacity</w:t>
      </w:r>
      <w:r w:rsidRPr="00887FD0">
        <w:rPr>
          <w:sz w:val="22"/>
          <w:szCs w:val="22"/>
        </w:rPr>
        <w:t xml:space="preserve"> of the facility</w:t>
      </w:r>
      <w:r w:rsidR="004B4D69">
        <w:rPr>
          <w:sz w:val="22"/>
          <w:szCs w:val="22"/>
        </w:rPr>
        <w:t xml:space="preserve"> and the projected cover material volumes should be subtracted from the overall design disposal capacity determined in part 1.a) to determine the available disposal capacity.</w:t>
      </w:r>
    </w:p>
    <w:p w14:paraId="6CC04C8B" w14:textId="77777777" w:rsidR="00737CF0" w:rsidRDefault="00737CF0" w:rsidP="00737CF0">
      <w:pPr>
        <w:pStyle w:val="BodyTextIndent"/>
        <w:tabs>
          <w:tab w:val="left" w:pos="1080"/>
        </w:tabs>
        <w:rPr>
          <w:sz w:val="22"/>
          <w:szCs w:val="22"/>
        </w:rPr>
      </w:pPr>
    </w:p>
    <w:p w14:paraId="28456E87" w14:textId="77777777" w:rsidR="00737CF0" w:rsidRPr="00AD4728" w:rsidRDefault="00737CF0" w:rsidP="00737CF0">
      <w:pPr>
        <w:pStyle w:val="BodyTextIndent"/>
        <w:tabs>
          <w:tab w:val="left" w:pos="720"/>
        </w:tabs>
        <w:ind w:left="720" w:hanging="360"/>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0AADF89A" w14:textId="77777777" w:rsidR="00737CF0" w:rsidRPr="00AD4728" w:rsidRDefault="00737CF0" w:rsidP="00737CF0">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4F26F154" w14:textId="77777777" w:rsidR="00737CF0" w:rsidRPr="00AD4728" w:rsidRDefault="00737CF0" w:rsidP="00737CF0">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24050500" w14:textId="77777777" w:rsidR="00737CF0" w:rsidRDefault="00737CF0" w:rsidP="00737CF0">
      <w:pPr>
        <w:pStyle w:val="BodyTextIndent"/>
        <w:tabs>
          <w:tab w:val="left" w:pos="1080"/>
        </w:tabs>
        <w:rPr>
          <w:sz w:val="22"/>
          <w:szCs w:val="22"/>
        </w:rPr>
      </w:pPr>
    </w:p>
    <w:p w14:paraId="6F9D9089" w14:textId="77777777" w:rsidR="00303A25" w:rsidRPr="00AD4728" w:rsidRDefault="00866609" w:rsidP="000A461C">
      <w:pPr>
        <w:pStyle w:val="BodyTextIndent"/>
        <w:numPr>
          <w:ilvl w:val="0"/>
          <w:numId w:val="1"/>
        </w:numPr>
        <w:tabs>
          <w:tab w:val="left" w:pos="1080"/>
        </w:tabs>
        <w:rPr>
          <w:sz w:val="22"/>
          <w:szCs w:val="22"/>
        </w:rPr>
      </w:pPr>
      <w:r w:rsidRPr="00AD4728">
        <w:rPr>
          <w:sz w:val="22"/>
          <w:szCs w:val="22"/>
        </w:rPr>
        <w:t>Describe</w:t>
      </w:r>
      <w:r w:rsidR="000F3C9E">
        <w:rPr>
          <w:sz w:val="22"/>
          <w:szCs w:val="22"/>
        </w:rPr>
        <w:t xml:space="preserve"> the anticipated</w:t>
      </w:r>
      <w:r w:rsidR="000A461C" w:rsidRPr="00AD4728">
        <w:rPr>
          <w:sz w:val="22"/>
          <w:szCs w:val="22"/>
        </w:rPr>
        <w:t xml:space="preserve"> </w:t>
      </w:r>
      <w:r w:rsidR="005F1292">
        <w:rPr>
          <w:sz w:val="22"/>
          <w:szCs w:val="22"/>
        </w:rPr>
        <w:t xml:space="preserve">incoming </w:t>
      </w:r>
      <w:r w:rsidR="00027B43">
        <w:rPr>
          <w:sz w:val="22"/>
          <w:szCs w:val="22"/>
        </w:rPr>
        <w:t xml:space="preserve">waste amounts </w:t>
      </w:r>
      <w:r w:rsidR="000A461C" w:rsidRPr="00AD4728">
        <w:rPr>
          <w:sz w:val="22"/>
          <w:szCs w:val="22"/>
        </w:rPr>
        <w:t>at the disposal site</w:t>
      </w:r>
      <w:r w:rsidR="009477B4" w:rsidRPr="00AD4728">
        <w:rPr>
          <w:sz w:val="22"/>
          <w:szCs w:val="22"/>
        </w:rPr>
        <w:t xml:space="preserve"> in cubic yards per year. </w:t>
      </w:r>
      <w:r w:rsidR="000F3C9E" w:rsidRPr="00EC6757">
        <w:rPr>
          <w:sz w:val="22"/>
          <w:szCs w:val="22"/>
        </w:rPr>
        <w:t xml:space="preserve">In projecting this </w:t>
      </w:r>
      <w:r w:rsidR="00887FD0" w:rsidRPr="00EC6757">
        <w:rPr>
          <w:sz w:val="22"/>
          <w:szCs w:val="22"/>
        </w:rPr>
        <w:t>annual</w:t>
      </w:r>
      <w:r w:rsidR="00027B43" w:rsidRPr="00EC6757">
        <w:rPr>
          <w:sz w:val="22"/>
          <w:szCs w:val="22"/>
        </w:rPr>
        <w:t xml:space="preserve"> amount</w:t>
      </w:r>
      <w:r w:rsidR="000A461C" w:rsidRPr="00EC6757">
        <w:rPr>
          <w:sz w:val="22"/>
          <w:szCs w:val="22"/>
        </w:rPr>
        <w:t>,</w:t>
      </w:r>
      <w:r w:rsidR="000F3C9E" w:rsidRPr="00EC6757">
        <w:rPr>
          <w:sz w:val="22"/>
          <w:szCs w:val="22"/>
        </w:rPr>
        <w:t xml:space="preserve"> the applicant</w:t>
      </w:r>
      <w:r w:rsidR="000A461C" w:rsidRPr="00EC6757">
        <w:rPr>
          <w:sz w:val="22"/>
          <w:szCs w:val="22"/>
        </w:rPr>
        <w:t xml:space="preserve"> should consider</w:t>
      </w:r>
      <w:r w:rsidR="009477B4" w:rsidRPr="00EC6757">
        <w:rPr>
          <w:sz w:val="22"/>
          <w:szCs w:val="22"/>
        </w:rPr>
        <w:t xml:space="preserve"> the </w:t>
      </w:r>
      <w:r w:rsidR="00887FD0" w:rsidRPr="00EC6757">
        <w:rPr>
          <w:sz w:val="22"/>
          <w:szCs w:val="22"/>
        </w:rPr>
        <w:t>overall quantity</w:t>
      </w:r>
      <w:r w:rsidR="009477B4" w:rsidRPr="00EC6757">
        <w:rPr>
          <w:sz w:val="22"/>
          <w:szCs w:val="22"/>
        </w:rPr>
        <w:t xml:space="preserve"> of </w:t>
      </w:r>
      <w:r w:rsidR="00887FD0" w:rsidRPr="00EC6757">
        <w:rPr>
          <w:sz w:val="22"/>
          <w:szCs w:val="22"/>
        </w:rPr>
        <w:t xml:space="preserve">solid </w:t>
      </w:r>
      <w:r w:rsidR="009477B4" w:rsidRPr="00EC6757">
        <w:rPr>
          <w:sz w:val="22"/>
          <w:szCs w:val="22"/>
        </w:rPr>
        <w:t xml:space="preserve">waste available </w:t>
      </w:r>
      <w:r w:rsidR="0005356B" w:rsidRPr="00EC6757">
        <w:rPr>
          <w:sz w:val="22"/>
          <w:szCs w:val="22"/>
        </w:rPr>
        <w:t xml:space="preserve">in the area taking into account </w:t>
      </w:r>
      <w:r w:rsidR="009477B4" w:rsidRPr="00EC6757">
        <w:rPr>
          <w:sz w:val="22"/>
          <w:szCs w:val="22"/>
        </w:rPr>
        <w:t>the</w:t>
      </w:r>
      <w:r w:rsidR="000A461C" w:rsidRPr="00EC6757">
        <w:rPr>
          <w:sz w:val="22"/>
          <w:szCs w:val="22"/>
        </w:rPr>
        <w:t xml:space="preserve"> other available disposal facilities in the vicinity and the amounts</w:t>
      </w:r>
      <w:r w:rsidR="00887FD0" w:rsidRPr="00EC6757">
        <w:rPr>
          <w:sz w:val="22"/>
          <w:szCs w:val="22"/>
        </w:rPr>
        <w:t>/types</w:t>
      </w:r>
      <w:r w:rsidR="000A461C" w:rsidRPr="00EC6757">
        <w:rPr>
          <w:sz w:val="22"/>
          <w:szCs w:val="22"/>
        </w:rPr>
        <w:t xml:space="preserve"> of wastes currently being disposed at those locations along with the reported remaining life of those facilities.</w:t>
      </w:r>
      <w:r w:rsidR="000A461C" w:rsidRPr="00AD4728">
        <w:rPr>
          <w:sz w:val="22"/>
          <w:szCs w:val="22"/>
        </w:rPr>
        <w:t xml:space="preserve"> </w:t>
      </w:r>
      <w:r w:rsidR="005F1292">
        <w:rPr>
          <w:sz w:val="22"/>
          <w:szCs w:val="22"/>
        </w:rPr>
        <w:t xml:space="preserve">The overall </w:t>
      </w:r>
      <w:r w:rsidR="0033369D">
        <w:rPr>
          <w:sz w:val="22"/>
          <w:szCs w:val="22"/>
        </w:rPr>
        <w:t xml:space="preserve">tonnage (and/or </w:t>
      </w:r>
      <w:r w:rsidR="00215BFB">
        <w:rPr>
          <w:sz w:val="22"/>
          <w:szCs w:val="22"/>
        </w:rPr>
        <w:t>volume</w:t>
      </w:r>
      <w:r w:rsidR="0033369D">
        <w:rPr>
          <w:sz w:val="22"/>
          <w:szCs w:val="22"/>
        </w:rPr>
        <w:t>)</w:t>
      </w:r>
      <w:r w:rsidR="00215BFB">
        <w:rPr>
          <w:sz w:val="22"/>
          <w:szCs w:val="22"/>
        </w:rPr>
        <w:t xml:space="preserve"> </w:t>
      </w:r>
      <w:r w:rsidR="00303A25" w:rsidRPr="00AD4728">
        <w:rPr>
          <w:sz w:val="22"/>
          <w:szCs w:val="22"/>
        </w:rPr>
        <w:t xml:space="preserve">of waste available for disposal should </w:t>
      </w:r>
      <w:r w:rsidR="006337CB" w:rsidRPr="00AD4728">
        <w:rPr>
          <w:sz w:val="22"/>
          <w:szCs w:val="22"/>
        </w:rPr>
        <w:t xml:space="preserve">generally </w:t>
      </w:r>
      <w:r w:rsidR="00303A25" w:rsidRPr="00AD4728">
        <w:rPr>
          <w:sz w:val="22"/>
          <w:szCs w:val="22"/>
        </w:rPr>
        <w:t xml:space="preserve">be evaluated for the </w:t>
      </w:r>
      <w:r w:rsidR="00BF2519">
        <w:rPr>
          <w:sz w:val="22"/>
          <w:szCs w:val="22"/>
        </w:rPr>
        <w:t xml:space="preserve">area that </w:t>
      </w:r>
      <w:r w:rsidR="00303A25" w:rsidRPr="00AD4728">
        <w:rPr>
          <w:sz w:val="22"/>
          <w:szCs w:val="22"/>
        </w:rPr>
        <w:t xml:space="preserve">the </w:t>
      </w:r>
      <w:r w:rsidR="006337CB" w:rsidRPr="00AD4728">
        <w:rPr>
          <w:sz w:val="22"/>
          <w:szCs w:val="22"/>
        </w:rPr>
        <w:t xml:space="preserve">proposed </w:t>
      </w:r>
      <w:r w:rsidR="00303A25" w:rsidRPr="00AD4728">
        <w:rPr>
          <w:sz w:val="22"/>
          <w:szCs w:val="22"/>
        </w:rPr>
        <w:t>facility</w:t>
      </w:r>
      <w:r w:rsidR="006337CB" w:rsidRPr="00AD4728">
        <w:rPr>
          <w:sz w:val="22"/>
          <w:szCs w:val="22"/>
        </w:rPr>
        <w:t xml:space="preserve"> </w:t>
      </w:r>
      <w:r w:rsidR="00BF2519">
        <w:rPr>
          <w:sz w:val="22"/>
          <w:szCs w:val="22"/>
        </w:rPr>
        <w:t xml:space="preserve">is expected to serve </w:t>
      </w:r>
      <w:r w:rsidR="00737CF0">
        <w:rPr>
          <w:sz w:val="22"/>
          <w:szCs w:val="22"/>
        </w:rPr>
        <w:t>(See Item 4</w:t>
      </w:r>
      <w:r w:rsidR="006337CB" w:rsidRPr="00AD4728">
        <w:rPr>
          <w:sz w:val="22"/>
          <w:szCs w:val="22"/>
        </w:rPr>
        <w:t>)</w:t>
      </w:r>
      <w:r w:rsidR="00303A25" w:rsidRPr="00AD4728">
        <w:rPr>
          <w:sz w:val="22"/>
          <w:szCs w:val="22"/>
        </w:rPr>
        <w:t>.  However,</w:t>
      </w:r>
      <w:r w:rsidR="00BF2519">
        <w:rPr>
          <w:sz w:val="22"/>
          <w:szCs w:val="22"/>
        </w:rPr>
        <w:t xml:space="preserve"> a proposed facility may often have a </w:t>
      </w:r>
      <w:r w:rsidR="00303A25" w:rsidRPr="00AD4728">
        <w:rPr>
          <w:sz w:val="22"/>
          <w:szCs w:val="22"/>
        </w:rPr>
        <w:t xml:space="preserve">proposed service area </w:t>
      </w:r>
      <w:r w:rsidR="00BF2519">
        <w:rPr>
          <w:sz w:val="22"/>
          <w:szCs w:val="22"/>
        </w:rPr>
        <w:t xml:space="preserve">that is </w:t>
      </w:r>
      <w:r w:rsidR="00303A25" w:rsidRPr="00AD4728">
        <w:rPr>
          <w:sz w:val="22"/>
          <w:szCs w:val="22"/>
        </w:rPr>
        <w:t xml:space="preserve">more expansive </w:t>
      </w:r>
      <w:r w:rsidR="005F1292">
        <w:rPr>
          <w:sz w:val="22"/>
          <w:szCs w:val="22"/>
        </w:rPr>
        <w:t xml:space="preserve">than </w:t>
      </w:r>
      <w:r w:rsidR="007A364E">
        <w:rPr>
          <w:sz w:val="22"/>
          <w:szCs w:val="22"/>
        </w:rPr>
        <w:t xml:space="preserve">what may be considered a </w:t>
      </w:r>
      <w:r w:rsidR="00060732">
        <w:rPr>
          <w:sz w:val="22"/>
          <w:szCs w:val="22"/>
        </w:rPr>
        <w:t>“</w:t>
      </w:r>
      <w:r w:rsidR="005F1292">
        <w:rPr>
          <w:sz w:val="22"/>
          <w:szCs w:val="22"/>
        </w:rPr>
        <w:t>standard</w:t>
      </w:r>
      <w:r w:rsidR="00060732">
        <w:rPr>
          <w:sz w:val="22"/>
          <w:szCs w:val="22"/>
        </w:rPr>
        <w:t>”</w:t>
      </w:r>
      <w:r w:rsidR="00FF36AA">
        <w:rPr>
          <w:sz w:val="22"/>
          <w:szCs w:val="22"/>
        </w:rPr>
        <w:t xml:space="preserve"> or </w:t>
      </w:r>
      <w:r w:rsidR="00060732">
        <w:rPr>
          <w:sz w:val="22"/>
          <w:szCs w:val="22"/>
        </w:rPr>
        <w:t>“</w:t>
      </w:r>
      <w:r w:rsidR="00FF36AA">
        <w:rPr>
          <w:sz w:val="22"/>
          <w:szCs w:val="22"/>
        </w:rPr>
        <w:t>routine</w:t>
      </w:r>
      <w:r w:rsidR="00060732">
        <w:rPr>
          <w:sz w:val="22"/>
          <w:szCs w:val="22"/>
        </w:rPr>
        <w:t>”</w:t>
      </w:r>
      <w:r w:rsidR="005F1292">
        <w:rPr>
          <w:sz w:val="22"/>
          <w:szCs w:val="22"/>
        </w:rPr>
        <w:t xml:space="preserve"> service area </w:t>
      </w:r>
      <w:r w:rsidR="00303A25" w:rsidRPr="00AD4728">
        <w:rPr>
          <w:sz w:val="22"/>
          <w:szCs w:val="22"/>
        </w:rPr>
        <w:t xml:space="preserve">to accommodate for extraordinary </w:t>
      </w:r>
      <w:r w:rsidR="006337CB" w:rsidRPr="00AD4728">
        <w:rPr>
          <w:sz w:val="22"/>
          <w:szCs w:val="22"/>
        </w:rPr>
        <w:t xml:space="preserve">disposal </w:t>
      </w:r>
      <w:r w:rsidR="00BF2519">
        <w:rPr>
          <w:sz w:val="22"/>
          <w:szCs w:val="22"/>
        </w:rPr>
        <w:t xml:space="preserve">circumstances. </w:t>
      </w:r>
      <w:r w:rsidR="00C87938">
        <w:rPr>
          <w:sz w:val="22"/>
          <w:szCs w:val="22"/>
        </w:rPr>
        <w:t>W</w:t>
      </w:r>
      <w:r w:rsidR="00BF2519">
        <w:rPr>
          <w:sz w:val="22"/>
          <w:szCs w:val="22"/>
        </w:rPr>
        <w:t>here a</w:t>
      </w:r>
      <w:r w:rsidR="001B50E8">
        <w:rPr>
          <w:sz w:val="22"/>
          <w:szCs w:val="22"/>
        </w:rPr>
        <w:t>n</w:t>
      </w:r>
      <w:r w:rsidR="00BF2519">
        <w:rPr>
          <w:sz w:val="22"/>
          <w:szCs w:val="22"/>
        </w:rPr>
        <w:t xml:space="preserve"> </w:t>
      </w:r>
      <w:r w:rsidR="001B50E8">
        <w:rPr>
          <w:sz w:val="22"/>
          <w:szCs w:val="22"/>
        </w:rPr>
        <w:t>applicant</w:t>
      </w:r>
      <w:r w:rsidR="00BF2519">
        <w:rPr>
          <w:sz w:val="22"/>
          <w:szCs w:val="22"/>
        </w:rPr>
        <w:t xml:space="preserve"> has p</w:t>
      </w:r>
      <w:r w:rsidR="000366BD">
        <w:rPr>
          <w:sz w:val="22"/>
          <w:szCs w:val="22"/>
        </w:rPr>
        <w:t xml:space="preserve">roposed </w:t>
      </w:r>
      <w:r w:rsidR="005F1292">
        <w:rPr>
          <w:sz w:val="22"/>
          <w:szCs w:val="22"/>
        </w:rPr>
        <w:t xml:space="preserve">such </w:t>
      </w:r>
      <w:r w:rsidR="000366BD">
        <w:rPr>
          <w:sz w:val="22"/>
          <w:szCs w:val="22"/>
        </w:rPr>
        <w:t xml:space="preserve">an expansive </w:t>
      </w:r>
      <w:r w:rsidR="00BF2519">
        <w:rPr>
          <w:sz w:val="22"/>
          <w:szCs w:val="22"/>
        </w:rPr>
        <w:t>service area</w:t>
      </w:r>
      <w:r w:rsidR="00303A25" w:rsidRPr="00AD4728">
        <w:rPr>
          <w:sz w:val="22"/>
          <w:szCs w:val="22"/>
        </w:rPr>
        <w:t xml:space="preserve">, </w:t>
      </w:r>
      <w:r w:rsidR="00737CF0">
        <w:rPr>
          <w:sz w:val="22"/>
          <w:szCs w:val="22"/>
        </w:rPr>
        <w:t xml:space="preserve">we recommend </w:t>
      </w:r>
      <w:r w:rsidR="001B50E8">
        <w:rPr>
          <w:sz w:val="22"/>
          <w:szCs w:val="22"/>
        </w:rPr>
        <w:t>the</w:t>
      </w:r>
      <w:r w:rsidR="00303A25" w:rsidRPr="00AD4728">
        <w:rPr>
          <w:sz w:val="22"/>
          <w:szCs w:val="22"/>
        </w:rPr>
        <w:t xml:space="preserve"> applicant </w:t>
      </w:r>
      <w:r w:rsidR="007A364E">
        <w:rPr>
          <w:sz w:val="22"/>
          <w:szCs w:val="22"/>
        </w:rPr>
        <w:t xml:space="preserve">limit the evaluation of </w:t>
      </w:r>
      <w:r w:rsidR="00BF2519">
        <w:rPr>
          <w:sz w:val="22"/>
          <w:szCs w:val="22"/>
        </w:rPr>
        <w:t>available</w:t>
      </w:r>
      <w:r w:rsidR="00303A25" w:rsidRPr="00AD4728">
        <w:rPr>
          <w:sz w:val="22"/>
          <w:szCs w:val="22"/>
        </w:rPr>
        <w:t xml:space="preserve"> waste flow </w:t>
      </w:r>
      <w:r w:rsidR="007A364E">
        <w:rPr>
          <w:sz w:val="22"/>
          <w:szCs w:val="22"/>
        </w:rPr>
        <w:t xml:space="preserve">for the DON to a </w:t>
      </w:r>
      <w:r w:rsidR="00262896">
        <w:rPr>
          <w:sz w:val="22"/>
          <w:szCs w:val="22"/>
        </w:rPr>
        <w:t>more</w:t>
      </w:r>
      <w:r w:rsidR="00407B7A">
        <w:rPr>
          <w:sz w:val="22"/>
          <w:szCs w:val="22"/>
        </w:rPr>
        <w:t xml:space="preserve"> routine service area </w:t>
      </w:r>
      <w:r w:rsidR="00303A25" w:rsidRPr="00AD4728">
        <w:rPr>
          <w:sz w:val="22"/>
          <w:szCs w:val="22"/>
        </w:rPr>
        <w:t xml:space="preserve">as follows: </w:t>
      </w:r>
    </w:p>
    <w:p w14:paraId="0ABED92D" w14:textId="77777777" w:rsidR="006337CB" w:rsidRPr="00AD4728" w:rsidRDefault="006337CB" w:rsidP="006337CB">
      <w:pPr>
        <w:pStyle w:val="BodyTextIndent"/>
        <w:tabs>
          <w:tab w:val="left" w:pos="1080"/>
        </w:tabs>
        <w:rPr>
          <w:sz w:val="22"/>
          <w:szCs w:val="22"/>
        </w:rPr>
      </w:pPr>
    </w:p>
    <w:p w14:paraId="569E3B22" w14:textId="77777777" w:rsidR="00303A25" w:rsidRPr="00AD4728" w:rsidRDefault="006337CB" w:rsidP="00303A25">
      <w:pPr>
        <w:pStyle w:val="BodyTextIndent"/>
        <w:numPr>
          <w:ilvl w:val="0"/>
          <w:numId w:val="10"/>
        </w:numPr>
        <w:tabs>
          <w:tab w:val="left" w:pos="720"/>
        </w:tabs>
        <w:ind w:left="720"/>
        <w:rPr>
          <w:sz w:val="22"/>
          <w:szCs w:val="22"/>
        </w:rPr>
      </w:pPr>
      <w:r w:rsidRPr="00AD4728">
        <w:rPr>
          <w:sz w:val="22"/>
          <w:szCs w:val="22"/>
        </w:rPr>
        <w:t>For Commercial</w:t>
      </w:r>
      <w:r w:rsidR="00303A25" w:rsidRPr="00AD4728">
        <w:rPr>
          <w:sz w:val="22"/>
          <w:szCs w:val="22"/>
        </w:rPr>
        <w:t xml:space="preserve"> </w:t>
      </w:r>
      <w:r w:rsidRPr="00AD4728">
        <w:rPr>
          <w:sz w:val="22"/>
          <w:szCs w:val="22"/>
        </w:rPr>
        <w:t xml:space="preserve">MSW </w:t>
      </w:r>
      <w:r w:rsidR="00BF2519">
        <w:rPr>
          <w:sz w:val="22"/>
          <w:szCs w:val="22"/>
        </w:rPr>
        <w:t xml:space="preserve">Landfills – </w:t>
      </w:r>
      <w:r w:rsidR="00783BF6">
        <w:rPr>
          <w:sz w:val="22"/>
          <w:szCs w:val="22"/>
        </w:rPr>
        <w:t xml:space="preserve">we recommend </w:t>
      </w:r>
      <w:r w:rsidR="00BF2519">
        <w:rPr>
          <w:sz w:val="22"/>
          <w:szCs w:val="22"/>
        </w:rPr>
        <w:t xml:space="preserve">the available </w:t>
      </w:r>
      <w:r w:rsidR="005F1292">
        <w:rPr>
          <w:sz w:val="22"/>
          <w:szCs w:val="22"/>
        </w:rPr>
        <w:t xml:space="preserve">waste </w:t>
      </w:r>
      <w:r w:rsidR="0033369D">
        <w:rPr>
          <w:sz w:val="22"/>
          <w:szCs w:val="22"/>
        </w:rPr>
        <w:t xml:space="preserve">tonnage </w:t>
      </w:r>
      <w:r w:rsidR="00303A25" w:rsidRPr="00AD4728">
        <w:rPr>
          <w:sz w:val="22"/>
          <w:szCs w:val="22"/>
        </w:rPr>
        <w:t>be evaluated from an area no larger than a 75-mile radius of the</w:t>
      </w:r>
      <w:r w:rsidR="00783BF6">
        <w:rPr>
          <w:sz w:val="22"/>
          <w:szCs w:val="22"/>
        </w:rPr>
        <w:t xml:space="preserve"> proposed</w:t>
      </w:r>
      <w:r w:rsidR="00303A25" w:rsidRPr="00AD4728">
        <w:rPr>
          <w:sz w:val="22"/>
          <w:szCs w:val="22"/>
        </w:rPr>
        <w:t xml:space="preserve"> facility </w:t>
      </w:r>
    </w:p>
    <w:p w14:paraId="0F4F7281" w14:textId="77777777" w:rsidR="004B4D69" w:rsidRDefault="008C1387" w:rsidP="00303A25">
      <w:pPr>
        <w:pStyle w:val="BodyTextIndent"/>
        <w:numPr>
          <w:ilvl w:val="0"/>
          <w:numId w:val="10"/>
        </w:numPr>
        <w:tabs>
          <w:tab w:val="left" w:pos="720"/>
        </w:tabs>
        <w:ind w:left="720"/>
        <w:rPr>
          <w:sz w:val="22"/>
          <w:szCs w:val="22"/>
        </w:rPr>
      </w:pPr>
      <w:r w:rsidRPr="004B4D69">
        <w:rPr>
          <w:sz w:val="22"/>
          <w:szCs w:val="22"/>
        </w:rPr>
        <w:t xml:space="preserve">For Commercial Rubbish </w:t>
      </w:r>
      <w:r w:rsidR="00B5068D" w:rsidRPr="004B4D69">
        <w:rPr>
          <w:sz w:val="22"/>
          <w:szCs w:val="22"/>
        </w:rPr>
        <w:t xml:space="preserve">Sites </w:t>
      </w:r>
      <w:r w:rsidRPr="004B4D69">
        <w:rPr>
          <w:sz w:val="22"/>
          <w:szCs w:val="22"/>
        </w:rPr>
        <w:t xml:space="preserve">– </w:t>
      </w:r>
      <w:r w:rsidR="00783BF6" w:rsidRPr="004B4D69">
        <w:rPr>
          <w:sz w:val="22"/>
          <w:szCs w:val="22"/>
        </w:rPr>
        <w:t xml:space="preserve">we recommend </w:t>
      </w:r>
      <w:r w:rsidRPr="004B4D69">
        <w:rPr>
          <w:sz w:val="22"/>
          <w:szCs w:val="22"/>
        </w:rPr>
        <w:t xml:space="preserve">the available </w:t>
      </w:r>
      <w:r w:rsidR="005F1292" w:rsidRPr="004B4D69">
        <w:rPr>
          <w:sz w:val="22"/>
          <w:szCs w:val="22"/>
        </w:rPr>
        <w:t xml:space="preserve">waste </w:t>
      </w:r>
      <w:r w:rsidR="0033369D" w:rsidRPr="004B4D69">
        <w:rPr>
          <w:sz w:val="22"/>
          <w:szCs w:val="22"/>
        </w:rPr>
        <w:t xml:space="preserve">tonnage </w:t>
      </w:r>
      <w:r w:rsidR="00303A25" w:rsidRPr="004B4D69">
        <w:rPr>
          <w:sz w:val="22"/>
          <w:szCs w:val="22"/>
        </w:rPr>
        <w:t xml:space="preserve">be evaluated </w:t>
      </w:r>
      <w:r w:rsidR="00783BF6" w:rsidRPr="004B4D69">
        <w:rPr>
          <w:sz w:val="22"/>
          <w:szCs w:val="22"/>
        </w:rPr>
        <w:t>from an area no larger than a 2</w:t>
      </w:r>
      <w:r w:rsidR="00534491">
        <w:rPr>
          <w:sz w:val="22"/>
          <w:szCs w:val="22"/>
        </w:rPr>
        <w:t>5</w:t>
      </w:r>
      <w:r w:rsidR="00783BF6" w:rsidRPr="004B4D69">
        <w:rPr>
          <w:sz w:val="22"/>
          <w:szCs w:val="22"/>
        </w:rPr>
        <w:t>-</w:t>
      </w:r>
      <w:r w:rsidR="00303A25" w:rsidRPr="004B4D69">
        <w:rPr>
          <w:sz w:val="22"/>
          <w:szCs w:val="22"/>
        </w:rPr>
        <w:t xml:space="preserve">mile radius of the </w:t>
      </w:r>
      <w:r w:rsidR="00783BF6" w:rsidRPr="004B4D69">
        <w:rPr>
          <w:sz w:val="22"/>
          <w:szCs w:val="22"/>
        </w:rPr>
        <w:t xml:space="preserve">proposed </w:t>
      </w:r>
      <w:r w:rsidR="00303A25" w:rsidRPr="004B4D69">
        <w:rPr>
          <w:sz w:val="22"/>
          <w:szCs w:val="22"/>
        </w:rPr>
        <w:t xml:space="preserve">facility </w:t>
      </w:r>
    </w:p>
    <w:p w14:paraId="75E86898" w14:textId="77777777" w:rsidR="006337CB" w:rsidRPr="004B4D69" w:rsidRDefault="00084C42" w:rsidP="00303A25">
      <w:pPr>
        <w:pStyle w:val="BodyTextIndent"/>
        <w:numPr>
          <w:ilvl w:val="0"/>
          <w:numId w:val="10"/>
        </w:numPr>
        <w:tabs>
          <w:tab w:val="left" w:pos="720"/>
        </w:tabs>
        <w:ind w:left="720"/>
        <w:rPr>
          <w:sz w:val="22"/>
          <w:szCs w:val="22"/>
        </w:rPr>
      </w:pPr>
      <w:r w:rsidRPr="004B4D69">
        <w:rPr>
          <w:sz w:val="22"/>
          <w:szCs w:val="22"/>
        </w:rPr>
        <w:t>For Noncommercial, C</w:t>
      </w:r>
      <w:r w:rsidR="006337CB" w:rsidRPr="004B4D69">
        <w:rPr>
          <w:sz w:val="22"/>
          <w:szCs w:val="22"/>
        </w:rPr>
        <w:t xml:space="preserve">aptive </w:t>
      </w:r>
      <w:r w:rsidR="00B5068D" w:rsidRPr="004B4D69">
        <w:rPr>
          <w:sz w:val="22"/>
          <w:szCs w:val="22"/>
        </w:rPr>
        <w:t>Non</w:t>
      </w:r>
      <w:r w:rsidR="006337CB" w:rsidRPr="004B4D69">
        <w:rPr>
          <w:sz w:val="22"/>
          <w:szCs w:val="22"/>
        </w:rPr>
        <w:t>-</w:t>
      </w:r>
      <w:r w:rsidR="00B5068D" w:rsidRPr="004B4D69">
        <w:rPr>
          <w:sz w:val="22"/>
          <w:szCs w:val="22"/>
        </w:rPr>
        <w:t xml:space="preserve">MSW Landfills </w:t>
      </w:r>
      <w:r w:rsidR="006337CB" w:rsidRPr="004B4D69">
        <w:rPr>
          <w:sz w:val="22"/>
          <w:szCs w:val="22"/>
        </w:rPr>
        <w:t xml:space="preserve">or </w:t>
      </w:r>
      <w:r w:rsidR="00B5068D" w:rsidRPr="004B4D69">
        <w:rPr>
          <w:sz w:val="22"/>
          <w:szCs w:val="22"/>
        </w:rPr>
        <w:t xml:space="preserve">Rubbish Sites </w:t>
      </w:r>
      <w:r w:rsidR="006337CB" w:rsidRPr="004B4D69">
        <w:rPr>
          <w:sz w:val="22"/>
          <w:szCs w:val="22"/>
        </w:rPr>
        <w:t xml:space="preserve">– </w:t>
      </w:r>
      <w:r w:rsidR="005F1292" w:rsidRPr="004B4D69">
        <w:rPr>
          <w:sz w:val="22"/>
          <w:szCs w:val="22"/>
        </w:rPr>
        <w:t xml:space="preserve">the available waste </w:t>
      </w:r>
      <w:r w:rsidR="0033369D" w:rsidRPr="004B4D69">
        <w:rPr>
          <w:sz w:val="22"/>
          <w:szCs w:val="22"/>
        </w:rPr>
        <w:t xml:space="preserve">tonnage </w:t>
      </w:r>
      <w:r w:rsidR="008C1387" w:rsidRPr="004B4D69">
        <w:rPr>
          <w:sz w:val="22"/>
          <w:szCs w:val="22"/>
        </w:rPr>
        <w:t>should be identifie</w:t>
      </w:r>
      <w:r w:rsidR="006337CB" w:rsidRPr="004B4D69">
        <w:rPr>
          <w:sz w:val="22"/>
          <w:szCs w:val="22"/>
        </w:rPr>
        <w:t xml:space="preserve">d based on </w:t>
      </w:r>
      <w:r w:rsidR="008C1387" w:rsidRPr="004B4D69">
        <w:rPr>
          <w:sz w:val="22"/>
          <w:szCs w:val="22"/>
        </w:rPr>
        <w:t xml:space="preserve">the quantity expected from the </w:t>
      </w:r>
      <w:r w:rsidR="006337CB" w:rsidRPr="004B4D69">
        <w:rPr>
          <w:sz w:val="22"/>
          <w:szCs w:val="22"/>
        </w:rPr>
        <w:t xml:space="preserve">source or sources of waste for the captive facility.  </w:t>
      </w:r>
    </w:p>
    <w:p w14:paraId="70019616" w14:textId="77777777" w:rsidR="006337CB" w:rsidRPr="00AD4728" w:rsidRDefault="006337CB" w:rsidP="006337CB">
      <w:pPr>
        <w:pStyle w:val="BodyTextIndent"/>
        <w:tabs>
          <w:tab w:val="left" w:pos="720"/>
        </w:tabs>
        <w:ind w:left="720"/>
        <w:rPr>
          <w:sz w:val="22"/>
          <w:szCs w:val="22"/>
        </w:rPr>
      </w:pPr>
    </w:p>
    <w:p w14:paraId="07E7C866" w14:textId="77777777" w:rsidR="009477B4" w:rsidRDefault="00BF2519" w:rsidP="00887FD0">
      <w:pPr>
        <w:pStyle w:val="BodyTextIndent"/>
        <w:tabs>
          <w:tab w:val="left" w:pos="720"/>
        </w:tabs>
        <w:rPr>
          <w:sz w:val="22"/>
          <w:szCs w:val="22"/>
        </w:rPr>
      </w:pPr>
      <w:r>
        <w:rPr>
          <w:sz w:val="22"/>
          <w:szCs w:val="22"/>
        </w:rPr>
        <w:lastRenderedPageBreak/>
        <w:t>I</w:t>
      </w:r>
      <w:r w:rsidR="00A7185A">
        <w:rPr>
          <w:sz w:val="22"/>
          <w:szCs w:val="22"/>
        </w:rPr>
        <w:t xml:space="preserve">t’s important to note that the </w:t>
      </w:r>
      <w:r w:rsidR="005F1292">
        <w:rPr>
          <w:sz w:val="22"/>
          <w:szCs w:val="22"/>
        </w:rPr>
        <w:t xml:space="preserve">area used to evaluate waste </w:t>
      </w:r>
      <w:r w:rsidR="001B50E8">
        <w:rPr>
          <w:sz w:val="22"/>
          <w:szCs w:val="22"/>
        </w:rPr>
        <w:t xml:space="preserve">volumes </w:t>
      </w:r>
      <w:r>
        <w:rPr>
          <w:sz w:val="22"/>
          <w:szCs w:val="22"/>
        </w:rPr>
        <w:t xml:space="preserve">for a commercial facility </w:t>
      </w:r>
      <w:r w:rsidR="00A7185A">
        <w:rPr>
          <w:sz w:val="22"/>
          <w:szCs w:val="22"/>
        </w:rPr>
        <w:t>do</w:t>
      </w:r>
      <w:r w:rsidR="006337CB" w:rsidRPr="00AD4728">
        <w:rPr>
          <w:sz w:val="22"/>
          <w:szCs w:val="22"/>
        </w:rPr>
        <w:t xml:space="preserve">es not mean that a </w:t>
      </w:r>
      <w:r w:rsidR="0005356B" w:rsidRPr="00AD4728">
        <w:rPr>
          <w:sz w:val="22"/>
          <w:szCs w:val="22"/>
        </w:rPr>
        <w:t xml:space="preserve">proposed </w:t>
      </w:r>
      <w:r w:rsidR="006337CB" w:rsidRPr="00AD4728">
        <w:rPr>
          <w:sz w:val="22"/>
          <w:szCs w:val="22"/>
        </w:rPr>
        <w:t>service area</w:t>
      </w:r>
      <w:r w:rsidR="00A7185A">
        <w:rPr>
          <w:sz w:val="22"/>
          <w:szCs w:val="22"/>
        </w:rPr>
        <w:t xml:space="preserve"> </w:t>
      </w:r>
      <w:r w:rsidR="006337CB" w:rsidRPr="00AD4728">
        <w:rPr>
          <w:sz w:val="22"/>
          <w:szCs w:val="22"/>
        </w:rPr>
        <w:t>cannot extend</w:t>
      </w:r>
      <w:r>
        <w:rPr>
          <w:sz w:val="22"/>
          <w:szCs w:val="22"/>
        </w:rPr>
        <w:t xml:space="preserve"> beyond the</w:t>
      </w:r>
      <w:r w:rsidR="008C1387">
        <w:rPr>
          <w:sz w:val="22"/>
          <w:szCs w:val="22"/>
        </w:rPr>
        <w:t xml:space="preserve"> radial</w:t>
      </w:r>
      <w:r>
        <w:rPr>
          <w:sz w:val="22"/>
          <w:szCs w:val="22"/>
        </w:rPr>
        <w:t xml:space="preserve"> areas described above. </w:t>
      </w:r>
      <w:r w:rsidR="008C1387">
        <w:rPr>
          <w:sz w:val="22"/>
          <w:szCs w:val="22"/>
        </w:rPr>
        <w:t>Also for your reference, please note that d</w:t>
      </w:r>
      <w:r w:rsidR="005F1292">
        <w:rPr>
          <w:sz w:val="22"/>
          <w:szCs w:val="22"/>
        </w:rPr>
        <w:t>isposal tonnage</w:t>
      </w:r>
      <w:r w:rsidR="000A461C" w:rsidRPr="00AD4728">
        <w:rPr>
          <w:sz w:val="22"/>
          <w:szCs w:val="22"/>
        </w:rPr>
        <w:t xml:space="preserve"> information is reported annually by permitted facilities to MDEQ. A summary report for each calendar year is produced by MDEQ and can be located online by visiting the MDEQ solid waste web page at: </w:t>
      </w:r>
      <w:hyperlink r:id="rId11" w:history="1">
        <w:r w:rsidR="00866AE5" w:rsidRPr="007D73C6">
          <w:rPr>
            <w:rStyle w:val="Hyperlink"/>
            <w:sz w:val="22"/>
            <w:szCs w:val="22"/>
          </w:rPr>
          <w:t>www.mdeq.ms.gov</w:t>
        </w:r>
      </w:hyperlink>
      <w:r w:rsidR="00866AE5">
        <w:rPr>
          <w:sz w:val="22"/>
          <w:szCs w:val="22"/>
        </w:rPr>
        <w:t xml:space="preserve">. </w:t>
      </w:r>
      <w:r w:rsidR="00DC7AED" w:rsidRPr="00AD4728">
        <w:rPr>
          <w:sz w:val="22"/>
          <w:szCs w:val="22"/>
        </w:rPr>
        <w:t>Where growth is anticipated, the projecte</w:t>
      </w:r>
      <w:r w:rsidR="009477B4" w:rsidRPr="00AD4728">
        <w:rPr>
          <w:sz w:val="22"/>
          <w:szCs w:val="22"/>
        </w:rPr>
        <w:t xml:space="preserve">d waste disposal rate may be adjusted annually for projected growth or reduction in population as well as other projected economic and local development factors. </w:t>
      </w:r>
      <w:r w:rsidR="00DC7AED" w:rsidRPr="00AD4728">
        <w:rPr>
          <w:sz w:val="22"/>
          <w:szCs w:val="22"/>
        </w:rPr>
        <w:t xml:space="preserve"> </w:t>
      </w:r>
    </w:p>
    <w:p w14:paraId="61FFB503" w14:textId="77777777" w:rsidR="00866AE5" w:rsidRPr="00AD4728" w:rsidRDefault="00866AE5" w:rsidP="00887FD0">
      <w:pPr>
        <w:pStyle w:val="BodyTextIndent"/>
        <w:tabs>
          <w:tab w:val="left" w:pos="720"/>
        </w:tabs>
        <w:rPr>
          <w:sz w:val="22"/>
          <w:szCs w:val="22"/>
        </w:rPr>
      </w:pPr>
    </w:p>
    <w:p w14:paraId="29D02AA1" w14:textId="77777777" w:rsidR="009477B4" w:rsidRDefault="008C1387" w:rsidP="000A461C">
      <w:pPr>
        <w:pStyle w:val="BodyTextIndent"/>
        <w:tabs>
          <w:tab w:val="left" w:pos="1080"/>
        </w:tabs>
        <w:rPr>
          <w:sz w:val="22"/>
          <w:szCs w:val="22"/>
        </w:rPr>
      </w:pPr>
      <w:r>
        <w:rPr>
          <w:sz w:val="22"/>
          <w:szCs w:val="22"/>
        </w:rPr>
        <w:t>Once a</w:t>
      </w:r>
      <w:r w:rsidR="00AA0B2E">
        <w:rPr>
          <w:sz w:val="22"/>
          <w:szCs w:val="22"/>
        </w:rPr>
        <w:t>n annual gate tonnage rate</w:t>
      </w:r>
      <w:r w:rsidR="000A461C" w:rsidRPr="00AD4728">
        <w:rPr>
          <w:sz w:val="22"/>
          <w:szCs w:val="22"/>
        </w:rPr>
        <w:t xml:space="preserve"> is determined, </w:t>
      </w:r>
      <w:r w:rsidR="00AA0B2E">
        <w:rPr>
          <w:sz w:val="22"/>
          <w:szCs w:val="22"/>
        </w:rPr>
        <w:t xml:space="preserve">an applicant may, where applicable, </w:t>
      </w:r>
      <w:r w:rsidR="009477B4" w:rsidRPr="00AD4728">
        <w:rPr>
          <w:sz w:val="22"/>
          <w:szCs w:val="22"/>
        </w:rPr>
        <w:t xml:space="preserve">estimate </w:t>
      </w:r>
      <w:r w:rsidR="000A461C" w:rsidRPr="00AD4728">
        <w:rPr>
          <w:sz w:val="22"/>
          <w:szCs w:val="22"/>
        </w:rPr>
        <w:t>the anticipa</w:t>
      </w:r>
      <w:r w:rsidR="009477B4" w:rsidRPr="00AD4728">
        <w:rPr>
          <w:sz w:val="22"/>
          <w:szCs w:val="22"/>
        </w:rPr>
        <w:t xml:space="preserve">ted </w:t>
      </w:r>
      <w:r w:rsidR="00AA0B2E">
        <w:rPr>
          <w:sz w:val="22"/>
          <w:szCs w:val="22"/>
        </w:rPr>
        <w:t xml:space="preserve">tonnage </w:t>
      </w:r>
      <w:r w:rsidR="009477B4" w:rsidRPr="00AD4728">
        <w:rPr>
          <w:sz w:val="22"/>
          <w:szCs w:val="22"/>
        </w:rPr>
        <w:t>of materials to be</w:t>
      </w:r>
      <w:r w:rsidR="000A461C" w:rsidRPr="00AD4728">
        <w:rPr>
          <w:sz w:val="22"/>
          <w:szCs w:val="22"/>
        </w:rPr>
        <w:t xml:space="preserve"> removed prior to disposal (either for recycling purposes or for disposal elsewhere at a different type of </w:t>
      </w:r>
      <w:r w:rsidR="009477B4" w:rsidRPr="00AD4728">
        <w:rPr>
          <w:sz w:val="22"/>
          <w:szCs w:val="22"/>
        </w:rPr>
        <w:t>solid w</w:t>
      </w:r>
      <w:r w:rsidR="00BF2519">
        <w:rPr>
          <w:sz w:val="22"/>
          <w:szCs w:val="22"/>
        </w:rPr>
        <w:t>aste facility) and s</w:t>
      </w:r>
      <w:r w:rsidR="00AA0B2E">
        <w:rPr>
          <w:sz w:val="22"/>
          <w:szCs w:val="22"/>
        </w:rPr>
        <w:t>ubtract this estimated tonnage from the projected overall tonnage</w:t>
      </w:r>
      <w:r w:rsidR="009477B4" w:rsidRPr="00AD4728">
        <w:rPr>
          <w:sz w:val="22"/>
          <w:szCs w:val="22"/>
        </w:rPr>
        <w:t xml:space="preserve"> to determine the </w:t>
      </w:r>
      <w:r w:rsidR="000A461C" w:rsidRPr="00AD4728">
        <w:rPr>
          <w:sz w:val="22"/>
          <w:szCs w:val="22"/>
        </w:rPr>
        <w:t xml:space="preserve">anticipated </w:t>
      </w:r>
      <w:r w:rsidR="000366BD">
        <w:rPr>
          <w:sz w:val="22"/>
          <w:szCs w:val="22"/>
        </w:rPr>
        <w:t xml:space="preserve">annual </w:t>
      </w:r>
      <w:r w:rsidR="000A461C" w:rsidRPr="00AD4728">
        <w:rPr>
          <w:sz w:val="22"/>
          <w:szCs w:val="22"/>
        </w:rPr>
        <w:t>waste disposal rate</w:t>
      </w:r>
      <w:r w:rsidR="009477B4" w:rsidRPr="00AD4728">
        <w:rPr>
          <w:sz w:val="22"/>
          <w:szCs w:val="22"/>
        </w:rPr>
        <w:t xml:space="preserve"> </w:t>
      </w:r>
      <w:r w:rsidR="001145DB">
        <w:rPr>
          <w:sz w:val="22"/>
          <w:szCs w:val="22"/>
        </w:rPr>
        <w:t>(in tons</w:t>
      </w:r>
      <w:r w:rsidR="000366BD">
        <w:rPr>
          <w:sz w:val="22"/>
          <w:szCs w:val="22"/>
        </w:rPr>
        <w:t xml:space="preserve">) </w:t>
      </w:r>
      <w:r w:rsidR="009477B4" w:rsidRPr="00AD4728">
        <w:rPr>
          <w:sz w:val="22"/>
          <w:szCs w:val="22"/>
        </w:rPr>
        <w:t xml:space="preserve">for the facility.   </w:t>
      </w:r>
    </w:p>
    <w:p w14:paraId="3200239A" w14:textId="77777777" w:rsidR="00B90577" w:rsidRPr="00AD4728" w:rsidRDefault="00B90577" w:rsidP="000A461C">
      <w:pPr>
        <w:pStyle w:val="BodyTextIndent"/>
        <w:tabs>
          <w:tab w:val="left" w:pos="1080"/>
        </w:tabs>
        <w:rPr>
          <w:sz w:val="22"/>
          <w:szCs w:val="22"/>
        </w:rPr>
      </w:pPr>
    </w:p>
    <w:p w14:paraId="4A629EDD" w14:textId="77777777" w:rsidR="00B90577" w:rsidRPr="00AD4728" w:rsidRDefault="00B90577" w:rsidP="00B90577">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44756EE8" w14:textId="77777777" w:rsidR="00B90577" w:rsidRPr="00AD4728" w:rsidRDefault="00B90577" w:rsidP="00B90577">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682CA653" w14:textId="77777777" w:rsidR="00B90577" w:rsidRPr="00AD4728" w:rsidRDefault="00B90577" w:rsidP="00B90577">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13F5BB83" w14:textId="77777777" w:rsidR="00B90577" w:rsidRDefault="00B90577" w:rsidP="00B90577">
      <w:pPr>
        <w:pStyle w:val="BodyTextIndent"/>
        <w:tabs>
          <w:tab w:val="left" w:pos="360"/>
        </w:tabs>
        <w:rPr>
          <w:sz w:val="22"/>
          <w:szCs w:val="22"/>
        </w:rPr>
      </w:pPr>
    </w:p>
    <w:p w14:paraId="55273FA5" w14:textId="77777777" w:rsidR="00AE0405" w:rsidRPr="00AE0405" w:rsidRDefault="004072D5" w:rsidP="004072D5">
      <w:pPr>
        <w:pStyle w:val="BodyTextIndent"/>
        <w:tabs>
          <w:tab w:val="left" w:pos="360"/>
        </w:tabs>
        <w:ind w:left="0"/>
        <w:rPr>
          <w:b/>
          <w:sz w:val="22"/>
          <w:szCs w:val="22"/>
        </w:rPr>
      </w:pPr>
      <w:r>
        <w:rPr>
          <w:b/>
          <w:sz w:val="22"/>
          <w:szCs w:val="22"/>
        </w:rPr>
        <w:tab/>
      </w:r>
      <w:r w:rsidR="00AE0405" w:rsidRPr="00AE0405">
        <w:rPr>
          <w:b/>
          <w:sz w:val="22"/>
          <w:szCs w:val="22"/>
        </w:rPr>
        <w:t>Adjust the Waste Acceptance Rate for Operational Variables</w:t>
      </w:r>
    </w:p>
    <w:p w14:paraId="5DC1797A" w14:textId="77777777" w:rsidR="00AE0405" w:rsidRDefault="00AE0405" w:rsidP="00B90577">
      <w:pPr>
        <w:pStyle w:val="BodyTextIndent"/>
        <w:tabs>
          <w:tab w:val="left" w:pos="360"/>
        </w:tabs>
        <w:rPr>
          <w:sz w:val="22"/>
          <w:szCs w:val="22"/>
        </w:rPr>
      </w:pPr>
    </w:p>
    <w:p w14:paraId="625E23AC" w14:textId="77777777" w:rsidR="00262896" w:rsidRPr="00262896" w:rsidRDefault="00AE0405" w:rsidP="00262896">
      <w:pPr>
        <w:pStyle w:val="BodyTextIndent"/>
        <w:tabs>
          <w:tab w:val="left" w:pos="1080"/>
        </w:tabs>
        <w:ind w:left="374"/>
        <w:rPr>
          <w:sz w:val="22"/>
          <w:szCs w:val="22"/>
        </w:rPr>
      </w:pPr>
      <w:r>
        <w:rPr>
          <w:sz w:val="22"/>
          <w:szCs w:val="22"/>
        </w:rPr>
        <w:t xml:space="preserve">Prior to </w:t>
      </w:r>
      <w:r w:rsidR="00A7185A">
        <w:rPr>
          <w:sz w:val="22"/>
          <w:szCs w:val="22"/>
        </w:rPr>
        <w:t>calculating the</w:t>
      </w:r>
      <w:r>
        <w:rPr>
          <w:sz w:val="22"/>
          <w:szCs w:val="22"/>
        </w:rPr>
        <w:t xml:space="preserve"> projected</w:t>
      </w:r>
      <w:r w:rsidR="00A7185A">
        <w:rPr>
          <w:sz w:val="22"/>
          <w:szCs w:val="22"/>
        </w:rPr>
        <w:t xml:space="preserve"> life</w:t>
      </w:r>
      <w:r>
        <w:rPr>
          <w:sz w:val="22"/>
          <w:szCs w:val="22"/>
        </w:rPr>
        <w:t xml:space="preserve"> of the proposed new facility or expansion</w:t>
      </w:r>
      <w:r w:rsidR="00A7185A">
        <w:rPr>
          <w:sz w:val="22"/>
          <w:szCs w:val="22"/>
        </w:rPr>
        <w:t xml:space="preserve">, the </w:t>
      </w:r>
      <w:r w:rsidR="00A7185A" w:rsidRPr="00AD4728">
        <w:rPr>
          <w:sz w:val="22"/>
          <w:szCs w:val="22"/>
        </w:rPr>
        <w:t>anticipa</w:t>
      </w:r>
      <w:r w:rsidR="00A7185A">
        <w:rPr>
          <w:sz w:val="22"/>
          <w:szCs w:val="22"/>
        </w:rPr>
        <w:t>ted waste acceptance</w:t>
      </w:r>
      <w:r w:rsidR="00A7185A" w:rsidRPr="00AD4728">
        <w:rPr>
          <w:sz w:val="22"/>
          <w:szCs w:val="22"/>
        </w:rPr>
        <w:t xml:space="preserve"> rate</w:t>
      </w:r>
      <w:r w:rsidR="00A7185A">
        <w:rPr>
          <w:sz w:val="22"/>
          <w:szCs w:val="22"/>
        </w:rPr>
        <w:t xml:space="preserve"> will need to be adjusted to account f</w:t>
      </w:r>
      <w:r w:rsidR="00A7185A" w:rsidRPr="00AD4728">
        <w:rPr>
          <w:sz w:val="22"/>
          <w:szCs w:val="22"/>
        </w:rPr>
        <w:t xml:space="preserve">or the operational variables of compaction and cover for the proposed site to determine the annual in-place waste disposal rate for the site. </w:t>
      </w:r>
      <w:r w:rsidR="00262896" w:rsidRPr="00262896">
        <w:rPr>
          <w:sz w:val="22"/>
          <w:szCs w:val="22"/>
        </w:rPr>
        <w:t>For both the compaction factor and cover factors, the applicant should disclose how these factors were determined.</w:t>
      </w:r>
    </w:p>
    <w:p w14:paraId="508B5BF8" w14:textId="77777777" w:rsidR="00702649" w:rsidRPr="00702649" w:rsidRDefault="00702649" w:rsidP="00702649">
      <w:pPr>
        <w:pStyle w:val="BodyTextIndent"/>
        <w:tabs>
          <w:tab w:val="left" w:pos="1080"/>
        </w:tabs>
        <w:rPr>
          <w:sz w:val="22"/>
          <w:szCs w:val="22"/>
        </w:rPr>
      </w:pPr>
    </w:p>
    <w:p w14:paraId="0D5414CF" w14:textId="77777777" w:rsidR="00A7185A" w:rsidRDefault="004072D5" w:rsidP="004072D5">
      <w:pPr>
        <w:pStyle w:val="BodyTextIndent"/>
        <w:numPr>
          <w:ilvl w:val="0"/>
          <w:numId w:val="1"/>
        </w:numPr>
        <w:tabs>
          <w:tab w:val="left" w:pos="1080"/>
        </w:tabs>
        <w:rPr>
          <w:sz w:val="22"/>
          <w:szCs w:val="22"/>
        </w:rPr>
      </w:pPr>
      <w:r>
        <w:rPr>
          <w:i/>
          <w:sz w:val="22"/>
          <w:szCs w:val="22"/>
        </w:rPr>
        <w:t xml:space="preserve">Adjust the incoming waste volumes for </w:t>
      </w:r>
      <w:r w:rsidR="00AE0405" w:rsidRPr="00027B43">
        <w:rPr>
          <w:i/>
          <w:sz w:val="22"/>
          <w:szCs w:val="22"/>
        </w:rPr>
        <w:t>Compaction</w:t>
      </w:r>
      <w:r w:rsidR="00AE0405">
        <w:rPr>
          <w:sz w:val="22"/>
          <w:szCs w:val="22"/>
        </w:rPr>
        <w:t xml:space="preserve">:  </w:t>
      </w:r>
      <w:r w:rsidR="00A7185A" w:rsidRPr="00AD4728">
        <w:rPr>
          <w:sz w:val="22"/>
          <w:szCs w:val="22"/>
        </w:rPr>
        <w:t>The annual in-place waste disposal rate should account for the expected compaction rate of the wastes.  The compaction rate may vary</w:t>
      </w:r>
      <w:r w:rsidR="00CF32A7">
        <w:rPr>
          <w:sz w:val="22"/>
          <w:szCs w:val="22"/>
        </w:rPr>
        <w:t xml:space="preserve"> (ranging from 750 lbs/cubic yard to </w:t>
      </w:r>
      <w:r w:rsidR="00AE0405">
        <w:rPr>
          <w:sz w:val="22"/>
          <w:szCs w:val="22"/>
        </w:rPr>
        <w:t>up to 1600</w:t>
      </w:r>
      <w:r w:rsidR="00CF32A7">
        <w:rPr>
          <w:sz w:val="22"/>
          <w:szCs w:val="22"/>
        </w:rPr>
        <w:t xml:space="preserve"> lbs/cubic yard)</w:t>
      </w:r>
      <w:r w:rsidR="00A7185A" w:rsidRPr="00AD4728">
        <w:rPr>
          <w:sz w:val="22"/>
          <w:szCs w:val="22"/>
        </w:rPr>
        <w:t xml:space="preserve"> based on the type of compaction equipment used at the </w:t>
      </w:r>
      <w:r w:rsidR="00A7185A">
        <w:rPr>
          <w:sz w:val="22"/>
          <w:szCs w:val="22"/>
        </w:rPr>
        <w:t>s</w:t>
      </w:r>
      <w:r w:rsidR="00A7185A" w:rsidRPr="00AD4728">
        <w:rPr>
          <w:sz w:val="22"/>
          <w:szCs w:val="22"/>
        </w:rPr>
        <w:t xml:space="preserve">ite and other operational factors such as waste type and lift thickness.  </w:t>
      </w:r>
    </w:p>
    <w:p w14:paraId="6DAF0943" w14:textId="77777777" w:rsidR="000366BD" w:rsidRDefault="000366BD" w:rsidP="000366BD">
      <w:pPr>
        <w:pStyle w:val="BodyTextIndent"/>
        <w:tabs>
          <w:tab w:val="left" w:pos="1080"/>
        </w:tabs>
        <w:ind w:left="748"/>
        <w:rPr>
          <w:sz w:val="22"/>
          <w:szCs w:val="22"/>
        </w:rPr>
      </w:pPr>
    </w:p>
    <w:p w14:paraId="6F0334CA" w14:textId="77777777" w:rsidR="000366BD" w:rsidRDefault="000366BD" w:rsidP="000366BD">
      <w:pPr>
        <w:pStyle w:val="BodyTextIndent"/>
        <w:tabs>
          <w:tab w:val="left" w:pos="1080"/>
        </w:tabs>
        <w:ind w:left="748"/>
        <w:rPr>
          <w:sz w:val="22"/>
          <w:szCs w:val="22"/>
        </w:rPr>
      </w:pPr>
      <w:r>
        <w:rPr>
          <w:sz w:val="22"/>
          <w:szCs w:val="22"/>
        </w:rPr>
        <w:t xml:space="preserve">EXAMPLE:   </w:t>
      </w:r>
      <w:r>
        <w:rPr>
          <w:sz w:val="22"/>
          <w:szCs w:val="22"/>
        </w:rPr>
        <w:tab/>
        <w:t xml:space="preserve">Projected Annual Waste Disposal Rate </w:t>
      </w:r>
      <w:r w:rsidR="00E718D5">
        <w:rPr>
          <w:sz w:val="22"/>
          <w:szCs w:val="22"/>
        </w:rPr>
        <w:t xml:space="preserve">= </w:t>
      </w:r>
      <w:r w:rsidR="001145DB">
        <w:rPr>
          <w:sz w:val="22"/>
          <w:szCs w:val="22"/>
        </w:rPr>
        <w:t xml:space="preserve">50,000 tons </w:t>
      </w:r>
    </w:p>
    <w:p w14:paraId="690D277C" w14:textId="77777777" w:rsidR="000366BD" w:rsidRDefault="000366BD" w:rsidP="000366BD">
      <w:pPr>
        <w:pStyle w:val="BodyTextIndent"/>
        <w:tabs>
          <w:tab w:val="left" w:pos="1080"/>
        </w:tabs>
        <w:ind w:left="748"/>
        <w:rPr>
          <w:sz w:val="22"/>
          <w:szCs w:val="22"/>
        </w:rPr>
      </w:pPr>
      <w:r>
        <w:rPr>
          <w:sz w:val="22"/>
          <w:szCs w:val="22"/>
        </w:rPr>
        <w:tab/>
      </w:r>
      <w:r>
        <w:rPr>
          <w:sz w:val="22"/>
          <w:szCs w:val="22"/>
        </w:rPr>
        <w:tab/>
      </w:r>
      <w:r>
        <w:rPr>
          <w:sz w:val="22"/>
          <w:szCs w:val="22"/>
        </w:rPr>
        <w:tab/>
        <w:t xml:space="preserve">Expected Compaction Rate </w:t>
      </w:r>
      <w:r w:rsidR="00E718D5">
        <w:rPr>
          <w:sz w:val="22"/>
          <w:szCs w:val="22"/>
        </w:rPr>
        <w:t xml:space="preserve">= </w:t>
      </w:r>
      <w:r>
        <w:rPr>
          <w:sz w:val="22"/>
          <w:szCs w:val="22"/>
        </w:rPr>
        <w:t>1000 lbs/cubic yard</w:t>
      </w:r>
    </w:p>
    <w:p w14:paraId="38B0B4DC" w14:textId="77777777" w:rsidR="001145DB" w:rsidRDefault="001145DB" w:rsidP="000366BD">
      <w:pPr>
        <w:pStyle w:val="BodyTextIndent"/>
        <w:tabs>
          <w:tab w:val="left" w:pos="1080"/>
        </w:tabs>
        <w:ind w:left="748"/>
        <w:rPr>
          <w:sz w:val="22"/>
          <w:szCs w:val="22"/>
        </w:rPr>
      </w:pPr>
    </w:p>
    <w:p w14:paraId="6E173C94" w14:textId="77777777" w:rsidR="004724EF" w:rsidRPr="00215BFB" w:rsidRDefault="000F27AC" w:rsidP="000366BD">
      <w:pPr>
        <w:pStyle w:val="BodyTextIndent"/>
        <w:tabs>
          <w:tab w:val="left" w:pos="1080"/>
        </w:tabs>
        <w:ind w:left="748"/>
        <w:rPr>
          <w:sz w:val="22"/>
          <w:szCs w:val="22"/>
        </w:rPr>
      </w:pPr>
      <m:oMathPara>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50,000 tons</m:t>
                  </m:r>
                </m:num>
                <m:den/>
              </m:f>
            </m:e>
          </m:d>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2,000 lbs</m:t>
                  </m:r>
                </m:num>
                <m:den>
                  <m:r>
                    <w:rPr>
                      <w:rFonts w:ascii="Cambria Math" w:hAnsi="Cambria Math"/>
                      <w:sz w:val="22"/>
                      <w:szCs w:val="22"/>
                    </w:rPr>
                    <m:t>1 ton</m:t>
                  </m:r>
                </m:den>
              </m:f>
            </m:e>
          </m:d>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 cyd</m:t>
                  </m:r>
                </m:num>
                <m:den>
                  <m:r>
                    <w:rPr>
                      <w:rFonts w:ascii="Cambria Math" w:hAnsi="Cambria Math"/>
                      <w:sz w:val="22"/>
                      <w:szCs w:val="22"/>
                    </w:rPr>
                    <m:t>1,000 lbs</m:t>
                  </m:r>
                </m:den>
              </m:f>
            </m:e>
          </m:d>
        </m:oMath>
      </m:oMathPara>
    </w:p>
    <w:p w14:paraId="0C7BDFBF" w14:textId="77777777" w:rsidR="00E718D5" w:rsidRPr="00215BFB" w:rsidRDefault="004724EF" w:rsidP="000366BD">
      <w:pPr>
        <w:pStyle w:val="BodyTextIndent"/>
        <w:tabs>
          <w:tab w:val="left" w:pos="1080"/>
        </w:tabs>
        <w:ind w:left="748"/>
        <w:rPr>
          <w:sz w:val="22"/>
          <w:szCs w:val="22"/>
        </w:rPr>
      </w:pPr>
      <m:oMathPara>
        <m:oMath>
          <m:r>
            <w:rPr>
              <w:rFonts w:ascii="Cambria Math" w:hAnsi="Cambria Math"/>
              <w:sz w:val="22"/>
              <w:szCs w:val="22"/>
            </w:rPr>
            <m:t>=100,000 cubic yards per year of landfill space consumed</m:t>
          </m:r>
        </m:oMath>
      </m:oMathPara>
    </w:p>
    <w:p w14:paraId="07435E1C" w14:textId="77777777" w:rsidR="00AE0405" w:rsidRDefault="00AE0405" w:rsidP="000366BD">
      <w:pPr>
        <w:pStyle w:val="BodyTextIndent"/>
        <w:tabs>
          <w:tab w:val="left" w:pos="1080"/>
        </w:tabs>
        <w:ind w:left="748"/>
        <w:rPr>
          <w:sz w:val="22"/>
          <w:szCs w:val="22"/>
        </w:rPr>
      </w:pPr>
    </w:p>
    <w:p w14:paraId="3E7E02BB" w14:textId="77777777" w:rsidR="00AE0405" w:rsidRPr="00AD4728" w:rsidRDefault="00AE0405" w:rsidP="00AE040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033BA05F" w14:textId="77777777" w:rsidR="00AE0405" w:rsidRPr="00AD4728" w:rsidRDefault="00AE0405" w:rsidP="00AE040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21840739" w14:textId="77777777" w:rsidR="00AE0405" w:rsidRPr="00AD4728" w:rsidRDefault="00AE0405" w:rsidP="00AE040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6115DDB7" w14:textId="77777777" w:rsidR="00AE0405" w:rsidRDefault="00AE0405" w:rsidP="00AE0405">
      <w:pPr>
        <w:pStyle w:val="BodyTextIndent"/>
        <w:tabs>
          <w:tab w:val="left" w:pos="360"/>
        </w:tabs>
        <w:rPr>
          <w:sz w:val="22"/>
          <w:szCs w:val="22"/>
        </w:rPr>
      </w:pPr>
    </w:p>
    <w:p w14:paraId="1EE79551" w14:textId="77777777" w:rsidR="00262896" w:rsidRDefault="00AE0405" w:rsidP="004072D5">
      <w:pPr>
        <w:pStyle w:val="BodyTextIndent"/>
        <w:numPr>
          <w:ilvl w:val="0"/>
          <w:numId w:val="1"/>
        </w:numPr>
        <w:tabs>
          <w:tab w:val="left" w:pos="1080"/>
        </w:tabs>
        <w:rPr>
          <w:sz w:val="22"/>
          <w:szCs w:val="22"/>
        </w:rPr>
      </w:pPr>
      <w:r w:rsidRPr="00AD4728">
        <w:rPr>
          <w:sz w:val="22"/>
          <w:szCs w:val="22"/>
        </w:rPr>
        <w:t>From the calculated capacity</w:t>
      </w:r>
      <w:r w:rsidR="00737CF0">
        <w:rPr>
          <w:sz w:val="22"/>
          <w:szCs w:val="22"/>
        </w:rPr>
        <w:t xml:space="preserve"> (in Item 1</w:t>
      </w:r>
      <w:r>
        <w:rPr>
          <w:sz w:val="22"/>
          <w:szCs w:val="22"/>
        </w:rPr>
        <w:t>.</w:t>
      </w:r>
      <w:r w:rsidR="00737CF0">
        <w:rPr>
          <w:sz w:val="22"/>
          <w:szCs w:val="22"/>
        </w:rPr>
        <w:t>a</w:t>
      </w:r>
      <w:r>
        <w:rPr>
          <w:sz w:val="22"/>
          <w:szCs w:val="22"/>
        </w:rPr>
        <w:t>)</w:t>
      </w:r>
      <w:r w:rsidRPr="00AD4728">
        <w:rPr>
          <w:sz w:val="22"/>
          <w:szCs w:val="22"/>
        </w:rPr>
        <w:t xml:space="preserve"> and the anticipated in-place waste disposal rate</w:t>
      </w:r>
      <w:r>
        <w:rPr>
          <w:sz w:val="22"/>
          <w:szCs w:val="22"/>
        </w:rPr>
        <w:t xml:space="preserve"> (in Item </w:t>
      </w:r>
      <w:r w:rsidR="00737CF0">
        <w:rPr>
          <w:sz w:val="22"/>
          <w:szCs w:val="22"/>
        </w:rPr>
        <w:t>1</w:t>
      </w:r>
      <w:r>
        <w:rPr>
          <w:sz w:val="22"/>
          <w:szCs w:val="22"/>
        </w:rPr>
        <w:t>.</w:t>
      </w:r>
      <w:r w:rsidR="004B4D69">
        <w:rPr>
          <w:sz w:val="22"/>
          <w:szCs w:val="22"/>
        </w:rPr>
        <w:t>b</w:t>
      </w:r>
      <w:r>
        <w:rPr>
          <w:sz w:val="22"/>
          <w:szCs w:val="22"/>
        </w:rPr>
        <w:t>)</w:t>
      </w:r>
      <w:r w:rsidRPr="00AD4728">
        <w:rPr>
          <w:sz w:val="22"/>
          <w:szCs w:val="22"/>
        </w:rPr>
        <w:t>, the land</w:t>
      </w:r>
      <w:r>
        <w:rPr>
          <w:sz w:val="22"/>
          <w:szCs w:val="22"/>
        </w:rPr>
        <w:t>fill owner/applicant should</w:t>
      </w:r>
      <w:r w:rsidRPr="00AD4728">
        <w:rPr>
          <w:sz w:val="22"/>
          <w:szCs w:val="22"/>
        </w:rPr>
        <w:t xml:space="preserve"> calculate </w:t>
      </w:r>
      <w:r>
        <w:rPr>
          <w:sz w:val="22"/>
          <w:szCs w:val="22"/>
        </w:rPr>
        <w:t xml:space="preserve">and describe below </w:t>
      </w:r>
      <w:r w:rsidRPr="00AD4728">
        <w:rPr>
          <w:sz w:val="22"/>
          <w:szCs w:val="22"/>
        </w:rPr>
        <w:t>the expected life for the proposed facility in years.</w:t>
      </w:r>
    </w:p>
    <w:p w14:paraId="3558041E" w14:textId="77777777" w:rsidR="00262896" w:rsidRDefault="00262896" w:rsidP="00262896">
      <w:pPr>
        <w:pStyle w:val="BodyTextIndent"/>
        <w:tabs>
          <w:tab w:val="left" w:pos="1080"/>
        </w:tabs>
        <w:rPr>
          <w:sz w:val="22"/>
          <w:szCs w:val="22"/>
        </w:rPr>
      </w:pPr>
    </w:p>
    <w:p w14:paraId="0CA2B583" w14:textId="77777777" w:rsidR="00262896" w:rsidRPr="00AD4728" w:rsidRDefault="00262896" w:rsidP="00262896">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591A286C" w14:textId="77777777" w:rsidR="00262896" w:rsidRPr="00AD4728" w:rsidRDefault="00262896" w:rsidP="00262896">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5B8D9C29" w14:textId="77777777" w:rsidR="00262896" w:rsidRPr="00AD4728" w:rsidRDefault="00262896" w:rsidP="00262896">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p>
    <w:p w14:paraId="62ACC46F" w14:textId="77777777" w:rsidR="00AE0405" w:rsidRDefault="00AE0405" w:rsidP="00DC7AED">
      <w:pPr>
        <w:pStyle w:val="BodyTextIndent"/>
        <w:tabs>
          <w:tab w:val="left" w:pos="1080"/>
        </w:tabs>
        <w:rPr>
          <w:sz w:val="22"/>
          <w:szCs w:val="22"/>
        </w:rPr>
      </w:pPr>
    </w:p>
    <w:p w14:paraId="18F8B39D" w14:textId="77777777" w:rsidR="00866609" w:rsidRPr="00AD4728" w:rsidRDefault="00292045" w:rsidP="004072D5">
      <w:pPr>
        <w:pStyle w:val="BodyTextIndent"/>
        <w:numPr>
          <w:ilvl w:val="0"/>
          <w:numId w:val="1"/>
        </w:numPr>
        <w:tabs>
          <w:tab w:val="left" w:pos="1080"/>
        </w:tabs>
        <w:rPr>
          <w:sz w:val="22"/>
          <w:szCs w:val="22"/>
        </w:rPr>
      </w:pPr>
      <w:r w:rsidRPr="00AD4728">
        <w:rPr>
          <w:sz w:val="22"/>
          <w:szCs w:val="22"/>
        </w:rPr>
        <w:t>The applicant</w:t>
      </w:r>
      <w:r w:rsidR="000D27C5" w:rsidRPr="00AD4728">
        <w:rPr>
          <w:sz w:val="22"/>
          <w:szCs w:val="22"/>
        </w:rPr>
        <w:t xml:space="preserve"> should</w:t>
      </w:r>
      <w:r w:rsidRPr="00AD4728">
        <w:rPr>
          <w:sz w:val="22"/>
          <w:szCs w:val="22"/>
        </w:rPr>
        <w:t xml:space="preserve"> </w:t>
      </w:r>
      <w:r w:rsidR="00A9113D" w:rsidRPr="00AD4728">
        <w:rPr>
          <w:sz w:val="22"/>
          <w:szCs w:val="22"/>
        </w:rPr>
        <w:t xml:space="preserve">provide a written </w:t>
      </w:r>
      <w:r w:rsidR="00866AE5">
        <w:rPr>
          <w:sz w:val="22"/>
          <w:szCs w:val="22"/>
        </w:rPr>
        <w:t xml:space="preserve">rationale for the need for the </w:t>
      </w:r>
      <w:r w:rsidRPr="00AD4728">
        <w:rPr>
          <w:sz w:val="22"/>
          <w:szCs w:val="22"/>
        </w:rPr>
        <w:t>projected life</w:t>
      </w:r>
      <w:r w:rsidR="00866AE5">
        <w:rPr>
          <w:sz w:val="22"/>
          <w:szCs w:val="22"/>
        </w:rPr>
        <w:t xml:space="preserve"> of the disposal facility</w:t>
      </w:r>
      <w:r w:rsidRPr="00AD4728">
        <w:rPr>
          <w:sz w:val="22"/>
          <w:szCs w:val="22"/>
        </w:rPr>
        <w:t>. MDEQ recognizes</w:t>
      </w:r>
      <w:r w:rsidR="00866609" w:rsidRPr="00AD4728">
        <w:rPr>
          <w:sz w:val="22"/>
          <w:szCs w:val="22"/>
        </w:rPr>
        <w:t xml:space="preserve"> the complexity in permitting </w:t>
      </w:r>
      <w:r w:rsidR="00866AE5">
        <w:rPr>
          <w:sz w:val="22"/>
          <w:szCs w:val="22"/>
        </w:rPr>
        <w:t xml:space="preserve">landfill facilities </w:t>
      </w:r>
      <w:r w:rsidRPr="00AD4728">
        <w:rPr>
          <w:sz w:val="22"/>
          <w:szCs w:val="22"/>
        </w:rPr>
        <w:t>and that t</w:t>
      </w:r>
      <w:r w:rsidR="00866609" w:rsidRPr="00AD4728">
        <w:rPr>
          <w:sz w:val="22"/>
          <w:szCs w:val="22"/>
        </w:rPr>
        <w:t>his complexity can affect the cap</w:t>
      </w:r>
      <w:r w:rsidR="00887FD0">
        <w:rPr>
          <w:sz w:val="22"/>
          <w:szCs w:val="22"/>
        </w:rPr>
        <w:t>acity and life of a facility.  It is</w:t>
      </w:r>
      <w:r w:rsidRPr="00AD4728">
        <w:rPr>
          <w:sz w:val="22"/>
          <w:szCs w:val="22"/>
        </w:rPr>
        <w:t xml:space="preserve"> anticipated </w:t>
      </w:r>
      <w:r w:rsidR="00AA0B2E">
        <w:rPr>
          <w:sz w:val="22"/>
          <w:szCs w:val="22"/>
        </w:rPr>
        <w:t>that the “</w:t>
      </w:r>
      <w:r w:rsidRPr="00AD4728">
        <w:rPr>
          <w:sz w:val="22"/>
          <w:szCs w:val="22"/>
        </w:rPr>
        <w:t>life</w:t>
      </w:r>
      <w:r w:rsidR="00AA0B2E">
        <w:rPr>
          <w:sz w:val="22"/>
          <w:szCs w:val="22"/>
        </w:rPr>
        <w:t>”</w:t>
      </w:r>
      <w:r w:rsidRPr="00AD4728">
        <w:rPr>
          <w:sz w:val="22"/>
          <w:szCs w:val="22"/>
        </w:rPr>
        <w:t xml:space="preserve"> for an MSW landfill and for </w:t>
      </w:r>
      <w:r w:rsidRPr="00AD4728">
        <w:rPr>
          <w:sz w:val="22"/>
          <w:szCs w:val="22"/>
        </w:rPr>
        <w:lastRenderedPageBreak/>
        <w:t>class I rubbish sites</w:t>
      </w:r>
      <w:r w:rsidR="00887FD0">
        <w:rPr>
          <w:sz w:val="22"/>
          <w:szCs w:val="22"/>
        </w:rPr>
        <w:t xml:space="preserve"> </w:t>
      </w:r>
      <w:r w:rsidRPr="00AD4728">
        <w:rPr>
          <w:sz w:val="22"/>
          <w:szCs w:val="22"/>
        </w:rPr>
        <w:t xml:space="preserve">may be forecasted some years beyond the 20 year planning period life. </w:t>
      </w:r>
      <w:r w:rsidR="00887FD0">
        <w:rPr>
          <w:sz w:val="22"/>
          <w:szCs w:val="22"/>
        </w:rPr>
        <w:t>F</w:t>
      </w:r>
      <w:r w:rsidR="00866609" w:rsidRPr="00AD4728">
        <w:rPr>
          <w:sz w:val="22"/>
          <w:szCs w:val="22"/>
        </w:rPr>
        <w:t xml:space="preserve">or facilities that exceed </w:t>
      </w:r>
      <w:r w:rsidRPr="00AD4728">
        <w:rPr>
          <w:sz w:val="22"/>
          <w:szCs w:val="22"/>
        </w:rPr>
        <w:t xml:space="preserve">the planning period of </w:t>
      </w:r>
      <w:r w:rsidR="00866609" w:rsidRPr="00AD4728">
        <w:rPr>
          <w:sz w:val="22"/>
          <w:szCs w:val="22"/>
        </w:rPr>
        <w:t>20-years of disposal capacity</w:t>
      </w:r>
      <w:r w:rsidR="00262896">
        <w:rPr>
          <w:sz w:val="22"/>
          <w:szCs w:val="22"/>
        </w:rPr>
        <w:t xml:space="preserve"> for the jurisdiction</w:t>
      </w:r>
      <w:r w:rsidR="00866609" w:rsidRPr="00AD4728">
        <w:rPr>
          <w:sz w:val="22"/>
          <w:szCs w:val="22"/>
        </w:rPr>
        <w:t xml:space="preserve">, the applicant should </w:t>
      </w:r>
      <w:r w:rsidR="00887FD0">
        <w:rPr>
          <w:sz w:val="22"/>
          <w:szCs w:val="22"/>
        </w:rPr>
        <w:t xml:space="preserve">provide </w:t>
      </w:r>
      <w:r w:rsidR="00866609" w:rsidRPr="00AD4728">
        <w:rPr>
          <w:sz w:val="22"/>
          <w:szCs w:val="22"/>
        </w:rPr>
        <w:t>supporting rat</w:t>
      </w:r>
      <w:r w:rsidR="00887FD0">
        <w:rPr>
          <w:sz w:val="22"/>
          <w:szCs w:val="22"/>
        </w:rPr>
        <w:t>ionale describing the need for the</w:t>
      </w:r>
      <w:r w:rsidR="00866609" w:rsidRPr="00AD4728">
        <w:rPr>
          <w:sz w:val="22"/>
          <w:szCs w:val="22"/>
        </w:rPr>
        <w:t xml:space="preserve"> proposed disposal capacity that exceeds the 20-year planning period.</w:t>
      </w:r>
    </w:p>
    <w:p w14:paraId="180F46FC" w14:textId="77777777" w:rsidR="00866609" w:rsidRPr="00AD4728" w:rsidRDefault="00866609" w:rsidP="00866609">
      <w:pPr>
        <w:pStyle w:val="BodyTextIndent"/>
        <w:tabs>
          <w:tab w:val="left" w:pos="1080"/>
        </w:tabs>
        <w:rPr>
          <w:sz w:val="22"/>
          <w:szCs w:val="22"/>
        </w:rPr>
      </w:pPr>
    </w:p>
    <w:p w14:paraId="1D22E6D3"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5EFDE5BF"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4D63B9F6"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05E1E996" w14:textId="77777777" w:rsidR="000D27C5" w:rsidRPr="00AD4728" w:rsidRDefault="000D27C5" w:rsidP="000D27C5">
      <w:pPr>
        <w:pStyle w:val="BodyTextIndent"/>
        <w:ind w:left="0"/>
        <w:rPr>
          <w:sz w:val="22"/>
          <w:szCs w:val="22"/>
        </w:rPr>
      </w:pPr>
    </w:p>
    <w:p w14:paraId="46CAE374" w14:textId="77777777" w:rsidR="00FC6FCF" w:rsidRPr="00AD4728" w:rsidRDefault="000A461C" w:rsidP="00FC6FCF">
      <w:pPr>
        <w:pStyle w:val="BodyTextIndent"/>
        <w:ind w:left="0"/>
        <w:rPr>
          <w:b/>
          <w:sz w:val="22"/>
          <w:szCs w:val="22"/>
        </w:rPr>
      </w:pPr>
      <w:r w:rsidRPr="00AD4728">
        <w:rPr>
          <w:b/>
          <w:sz w:val="22"/>
          <w:szCs w:val="22"/>
          <w:u w:val="single"/>
        </w:rPr>
        <w:t xml:space="preserve">Item </w:t>
      </w:r>
      <w:r w:rsidR="00737CF0">
        <w:rPr>
          <w:b/>
          <w:sz w:val="22"/>
          <w:szCs w:val="22"/>
          <w:u w:val="single"/>
        </w:rPr>
        <w:t>2.</w:t>
      </w:r>
      <w:r w:rsidR="00FC6FCF" w:rsidRPr="00CF32A7">
        <w:rPr>
          <w:b/>
          <w:sz w:val="22"/>
          <w:szCs w:val="22"/>
        </w:rPr>
        <w:t xml:space="preserve"> </w:t>
      </w:r>
      <w:r w:rsidR="00FC6FCF" w:rsidRPr="00AD4728">
        <w:rPr>
          <w:b/>
          <w:sz w:val="22"/>
          <w:szCs w:val="22"/>
        </w:rPr>
        <w:t>Certification that the proposed facility complies with local land use and zoning requirements, if any;</w:t>
      </w:r>
    </w:p>
    <w:p w14:paraId="7084A950" w14:textId="77777777" w:rsidR="000A461C" w:rsidRPr="00AD4728" w:rsidRDefault="000A461C" w:rsidP="00FC6FCF">
      <w:pPr>
        <w:pStyle w:val="BodyTextIndent"/>
        <w:ind w:left="0"/>
        <w:jc w:val="center"/>
        <w:rPr>
          <w:b/>
          <w:sz w:val="22"/>
          <w:szCs w:val="22"/>
          <w:u w:val="single"/>
        </w:rPr>
      </w:pPr>
    </w:p>
    <w:p w14:paraId="2C60498A" w14:textId="77777777" w:rsidR="0010249E" w:rsidRPr="00AD4728" w:rsidRDefault="0010249E" w:rsidP="000A461C">
      <w:pPr>
        <w:pStyle w:val="BodyTextIndent"/>
        <w:ind w:left="0"/>
        <w:rPr>
          <w:sz w:val="22"/>
          <w:szCs w:val="22"/>
        </w:rPr>
      </w:pPr>
      <w:r w:rsidRPr="00AD4728">
        <w:rPr>
          <w:sz w:val="22"/>
          <w:szCs w:val="22"/>
        </w:rPr>
        <w:t xml:space="preserve">Attach </w:t>
      </w:r>
      <w:r w:rsidR="00292045" w:rsidRPr="00AD4728">
        <w:rPr>
          <w:sz w:val="22"/>
          <w:szCs w:val="22"/>
        </w:rPr>
        <w:t>appropriat</w:t>
      </w:r>
      <w:r w:rsidRPr="00AD4728">
        <w:rPr>
          <w:sz w:val="22"/>
          <w:szCs w:val="22"/>
        </w:rPr>
        <w:t>e documentation from the jurisdictional local government</w:t>
      </w:r>
      <w:r w:rsidR="00B90577">
        <w:rPr>
          <w:sz w:val="22"/>
          <w:szCs w:val="22"/>
        </w:rPr>
        <w:t>(s)</w:t>
      </w:r>
      <w:r w:rsidRPr="00AD4728">
        <w:rPr>
          <w:sz w:val="22"/>
          <w:szCs w:val="22"/>
        </w:rPr>
        <w:t xml:space="preserve"> that the proposed </w:t>
      </w:r>
      <w:r w:rsidR="00292045" w:rsidRPr="00AD4728">
        <w:rPr>
          <w:sz w:val="22"/>
          <w:szCs w:val="22"/>
        </w:rPr>
        <w:t>facility is cons</w:t>
      </w:r>
      <w:r w:rsidRPr="00AD4728">
        <w:rPr>
          <w:sz w:val="22"/>
          <w:szCs w:val="22"/>
        </w:rPr>
        <w:t>istent,</w:t>
      </w:r>
      <w:r w:rsidR="00292045" w:rsidRPr="00AD4728">
        <w:rPr>
          <w:sz w:val="22"/>
          <w:szCs w:val="22"/>
        </w:rPr>
        <w:t xml:space="preserve"> authorized</w:t>
      </w:r>
      <w:r w:rsidRPr="00AD4728">
        <w:rPr>
          <w:sz w:val="22"/>
          <w:szCs w:val="22"/>
        </w:rPr>
        <w:t>, properly zoned</w:t>
      </w:r>
      <w:r w:rsidR="00B90577">
        <w:rPr>
          <w:sz w:val="22"/>
          <w:szCs w:val="22"/>
        </w:rPr>
        <w:t>, and/or exempt</w:t>
      </w:r>
      <w:r w:rsidR="00292045" w:rsidRPr="00AD4728">
        <w:rPr>
          <w:sz w:val="22"/>
          <w:szCs w:val="22"/>
        </w:rPr>
        <w:t xml:space="preserve"> under local zoning and land use ordinances or restrictions.</w:t>
      </w:r>
      <w:r w:rsidRPr="00AD4728">
        <w:rPr>
          <w:sz w:val="22"/>
          <w:szCs w:val="22"/>
        </w:rPr>
        <w:t xml:space="preserve">  If at the time this DON is provided to the local government the zoning process has not been completed, describe the status of the process to obtain local zoning approval.  </w:t>
      </w:r>
    </w:p>
    <w:p w14:paraId="04F20722" w14:textId="77777777" w:rsidR="0010249E" w:rsidRPr="00AD4728" w:rsidRDefault="0010249E" w:rsidP="000A461C">
      <w:pPr>
        <w:pStyle w:val="BodyTextIndent"/>
        <w:ind w:left="0"/>
        <w:rPr>
          <w:sz w:val="22"/>
          <w:szCs w:val="22"/>
        </w:rPr>
      </w:pPr>
    </w:p>
    <w:p w14:paraId="54084837" w14:textId="77777777" w:rsidR="000A461C" w:rsidRPr="00AD4728" w:rsidRDefault="000A461C" w:rsidP="000A461C">
      <w:pPr>
        <w:pStyle w:val="BodyTextIndent"/>
        <w:ind w:left="0"/>
        <w:rPr>
          <w:sz w:val="22"/>
          <w:szCs w:val="22"/>
        </w:rPr>
      </w:pPr>
      <w:r w:rsidRPr="00AD4728">
        <w:rPr>
          <w:sz w:val="22"/>
          <w:szCs w:val="22"/>
        </w:rPr>
        <w:t xml:space="preserve">If the local government does not have zoning regulations, then the applicant should </w:t>
      </w:r>
      <w:r w:rsidR="00887FD0">
        <w:rPr>
          <w:sz w:val="22"/>
          <w:szCs w:val="22"/>
        </w:rPr>
        <w:t>attach</w:t>
      </w:r>
      <w:r w:rsidR="008D1EF4" w:rsidRPr="00AD4728">
        <w:rPr>
          <w:sz w:val="22"/>
          <w:szCs w:val="22"/>
        </w:rPr>
        <w:t xml:space="preserve"> </w:t>
      </w:r>
      <w:r w:rsidR="0010249E" w:rsidRPr="00AD4728">
        <w:rPr>
          <w:sz w:val="22"/>
          <w:szCs w:val="22"/>
        </w:rPr>
        <w:t xml:space="preserve">written </w:t>
      </w:r>
      <w:r w:rsidR="008D1EF4" w:rsidRPr="00AD4728">
        <w:rPr>
          <w:sz w:val="22"/>
          <w:szCs w:val="22"/>
        </w:rPr>
        <w:t>document</w:t>
      </w:r>
      <w:r w:rsidR="0010249E" w:rsidRPr="00AD4728">
        <w:rPr>
          <w:sz w:val="22"/>
          <w:szCs w:val="22"/>
        </w:rPr>
        <w:t>ation</w:t>
      </w:r>
      <w:r w:rsidR="008D1EF4" w:rsidRPr="00AD4728">
        <w:rPr>
          <w:sz w:val="22"/>
          <w:szCs w:val="22"/>
        </w:rPr>
        <w:t xml:space="preserve"> from the </w:t>
      </w:r>
      <w:r w:rsidR="0010249E" w:rsidRPr="00AD4728">
        <w:rPr>
          <w:sz w:val="22"/>
          <w:szCs w:val="22"/>
        </w:rPr>
        <w:t xml:space="preserve">jurisdictional local government </w:t>
      </w:r>
      <w:r w:rsidR="00887FD0">
        <w:rPr>
          <w:sz w:val="22"/>
          <w:szCs w:val="22"/>
        </w:rPr>
        <w:t xml:space="preserve">(on </w:t>
      </w:r>
      <w:r w:rsidR="008C1387">
        <w:rPr>
          <w:sz w:val="22"/>
          <w:szCs w:val="22"/>
        </w:rPr>
        <w:t xml:space="preserve">the </w:t>
      </w:r>
      <w:r w:rsidR="00887FD0">
        <w:rPr>
          <w:sz w:val="22"/>
          <w:szCs w:val="22"/>
        </w:rPr>
        <w:t>local government</w:t>
      </w:r>
      <w:r w:rsidR="008C1387">
        <w:rPr>
          <w:sz w:val="22"/>
          <w:szCs w:val="22"/>
        </w:rPr>
        <w:t>’s</w:t>
      </w:r>
      <w:r w:rsidR="00887FD0">
        <w:rPr>
          <w:sz w:val="22"/>
          <w:szCs w:val="22"/>
        </w:rPr>
        <w:t xml:space="preserve"> letterhead) </w:t>
      </w:r>
      <w:r w:rsidR="0010249E" w:rsidRPr="00AD4728">
        <w:rPr>
          <w:sz w:val="22"/>
          <w:szCs w:val="22"/>
        </w:rPr>
        <w:t>that</w:t>
      </w:r>
      <w:r w:rsidR="008D1EF4" w:rsidRPr="00AD4728">
        <w:rPr>
          <w:sz w:val="22"/>
          <w:szCs w:val="22"/>
        </w:rPr>
        <w:t xml:space="preserve"> </w:t>
      </w:r>
      <w:r w:rsidR="0010249E" w:rsidRPr="00AD4728">
        <w:rPr>
          <w:sz w:val="22"/>
          <w:szCs w:val="22"/>
        </w:rPr>
        <w:t xml:space="preserve">indicates that </w:t>
      </w:r>
      <w:r w:rsidR="008C1387">
        <w:rPr>
          <w:sz w:val="22"/>
          <w:szCs w:val="22"/>
        </w:rPr>
        <w:t>such regulations do not exist. An applicant should be aware that e</w:t>
      </w:r>
      <w:r w:rsidR="00A9113D" w:rsidRPr="00AD4728">
        <w:rPr>
          <w:sz w:val="22"/>
          <w:szCs w:val="22"/>
        </w:rPr>
        <w:t>ven in instances where zoning does not exist, a</w:t>
      </w:r>
      <w:r w:rsidR="0010249E" w:rsidRPr="00AD4728">
        <w:rPr>
          <w:sz w:val="22"/>
          <w:szCs w:val="22"/>
        </w:rPr>
        <w:t xml:space="preserve"> local government may </w:t>
      </w:r>
      <w:r w:rsidR="00A9113D" w:rsidRPr="00AD4728">
        <w:rPr>
          <w:sz w:val="22"/>
          <w:szCs w:val="22"/>
        </w:rPr>
        <w:t xml:space="preserve">still </w:t>
      </w:r>
      <w:r w:rsidR="0010249E" w:rsidRPr="00AD4728">
        <w:rPr>
          <w:sz w:val="22"/>
          <w:szCs w:val="22"/>
        </w:rPr>
        <w:t xml:space="preserve">consider whether a proposed </w:t>
      </w:r>
      <w:r w:rsidR="00A9113D" w:rsidRPr="00AD4728">
        <w:rPr>
          <w:sz w:val="22"/>
          <w:szCs w:val="22"/>
        </w:rPr>
        <w:t xml:space="preserve">disposal </w:t>
      </w:r>
      <w:r w:rsidR="0010249E" w:rsidRPr="00AD4728">
        <w:rPr>
          <w:sz w:val="22"/>
          <w:szCs w:val="22"/>
        </w:rPr>
        <w:t xml:space="preserve">facility is consistent with the </w:t>
      </w:r>
      <w:r w:rsidRPr="00AD4728">
        <w:rPr>
          <w:sz w:val="22"/>
          <w:szCs w:val="22"/>
          <w:u w:val="single"/>
        </w:rPr>
        <w:t>current</w:t>
      </w:r>
      <w:r w:rsidR="0010249E" w:rsidRPr="00AD4728">
        <w:rPr>
          <w:sz w:val="22"/>
          <w:szCs w:val="22"/>
          <w:u w:val="single"/>
        </w:rPr>
        <w:t xml:space="preserve"> uses of the surrounding land</w:t>
      </w:r>
      <w:r w:rsidRPr="00AD4728">
        <w:rPr>
          <w:sz w:val="22"/>
          <w:szCs w:val="22"/>
          <w:u w:val="single"/>
        </w:rPr>
        <w:t xml:space="preserve"> area</w:t>
      </w:r>
      <w:r w:rsidR="00A9113D" w:rsidRPr="00AD4728">
        <w:rPr>
          <w:sz w:val="22"/>
          <w:szCs w:val="22"/>
        </w:rPr>
        <w:t xml:space="preserve"> as part of the planning process. </w:t>
      </w:r>
      <w:r w:rsidR="0010249E" w:rsidRPr="00AD4728">
        <w:rPr>
          <w:sz w:val="22"/>
          <w:szCs w:val="22"/>
        </w:rPr>
        <w:t xml:space="preserve"> </w:t>
      </w:r>
    </w:p>
    <w:p w14:paraId="5CC74DE8" w14:textId="77777777" w:rsidR="0010249E" w:rsidRPr="00AD4728" w:rsidRDefault="0010249E" w:rsidP="000A461C">
      <w:pPr>
        <w:pStyle w:val="BodyTextIndent"/>
        <w:ind w:left="0"/>
        <w:rPr>
          <w:sz w:val="22"/>
          <w:szCs w:val="22"/>
        </w:rPr>
      </w:pPr>
    </w:p>
    <w:p w14:paraId="650494A5" w14:textId="77777777" w:rsidR="00FC6FCF" w:rsidRPr="00AD4728" w:rsidRDefault="00887FD0" w:rsidP="00FC6FCF">
      <w:pPr>
        <w:pStyle w:val="BodyTextIndent"/>
        <w:ind w:left="0"/>
        <w:rPr>
          <w:b/>
          <w:sz w:val="22"/>
          <w:szCs w:val="22"/>
        </w:rPr>
      </w:pPr>
      <w:r>
        <w:rPr>
          <w:b/>
          <w:sz w:val="22"/>
          <w:szCs w:val="22"/>
          <w:u w:val="single"/>
        </w:rPr>
        <w:t>I</w:t>
      </w:r>
      <w:r w:rsidR="000A461C" w:rsidRPr="00AD4728">
        <w:rPr>
          <w:b/>
          <w:sz w:val="22"/>
          <w:szCs w:val="22"/>
          <w:u w:val="single"/>
        </w:rPr>
        <w:t xml:space="preserve">tem </w:t>
      </w:r>
      <w:r w:rsidR="00737CF0">
        <w:rPr>
          <w:b/>
          <w:sz w:val="22"/>
          <w:szCs w:val="22"/>
          <w:u w:val="single"/>
        </w:rPr>
        <w:t>3</w:t>
      </w:r>
      <w:r w:rsidR="009D5586" w:rsidRPr="00AD4728">
        <w:rPr>
          <w:b/>
          <w:sz w:val="22"/>
          <w:szCs w:val="22"/>
        </w:rPr>
        <w:t xml:space="preserve">. </w:t>
      </w:r>
      <w:r w:rsidR="00FC6FCF" w:rsidRPr="00AD4728">
        <w:rPr>
          <w:b/>
          <w:sz w:val="22"/>
          <w:szCs w:val="22"/>
        </w:rPr>
        <w:t>Demonstration, to the extent possible, that the operation of the proposed facility will not negatively impact the waste reduction strategy of the local government submitting the plan;</w:t>
      </w:r>
    </w:p>
    <w:p w14:paraId="7BC77633" w14:textId="77777777" w:rsidR="000A461C" w:rsidRPr="00AD4728" w:rsidRDefault="000A461C" w:rsidP="000A461C">
      <w:pPr>
        <w:pStyle w:val="BodyTextIndent"/>
        <w:ind w:left="0"/>
        <w:rPr>
          <w:sz w:val="22"/>
          <w:szCs w:val="22"/>
        </w:rPr>
      </w:pPr>
    </w:p>
    <w:p w14:paraId="2E0E70D3" w14:textId="77777777" w:rsidR="000A461C" w:rsidRPr="00AD4728" w:rsidRDefault="008C1387" w:rsidP="000A461C">
      <w:pPr>
        <w:pStyle w:val="BodyTextIndent"/>
        <w:ind w:left="0"/>
        <w:rPr>
          <w:sz w:val="22"/>
          <w:szCs w:val="22"/>
        </w:rPr>
      </w:pPr>
      <w:r>
        <w:rPr>
          <w:sz w:val="22"/>
          <w:szCs w:val="22"/>
        </w:rPr>
        <w:t xml:space="preserve">The applicant </w:t>
      </w:r>
      <w:r w:rsidR="004724EF">
        <w:rPr>
          <w:sz w:val="22"/>
          <w:szCs w:val="22"/>
        </w:rPr>
        <w:t>should</w:t>
      </w:r>
      <w:r w:rsidR="000A461C" w:rsidRPr="00AD4728">
        <w:rPr>
          <w:sz w:val="22"/>
          <w:szCs w:val="22"/>
        </w:rPr>
        <w:t xml:space="preserve"> review the approved recycling and waste reduction str</w:t>
      </w:r>
      <w:r w:rsidR="00DC7AED" w:rsidRPr="00AD4728">
        <w:rPr>
          <w:sz w:val="22"/>
          <w:szCs w:val="22"/>
        </w:rPr>
        <w:t xml:space="preserve">ategy </w:t>
      </w:r>
      <w:r w:rsidR="00784727">
        <w:rPr>
          <w:sz w:val="22"/>
          <w:szCs w:val="22"/>
        </w:rPr>
        <w:t>in</w:t>
      </w:r>
      <w:r w:rsidR="00784727" w:rsidRPr="00AD4728">
        <w:rPr>
          <w:sz w:val="22"/>
          <w:szCs w:val="22"/>
        </w:rPr>
        <w:t xml:space="preserve"> the </w:t>
      </w:r>
      <w:r w:rsidR="00784727">
        <w:rPr>
          <w:sz w:val="22"/>
          <w:szCs w:val="22"/>
        </w:rPr>
        <w:t xml:space="preserve">approved local solid waste management plan </w:t>
      </w:r>
      <w:r w:rsidR="004724EF">
        <w:rPr>
          <w:sz w:val="22"/>
          <w:szCs w:val="22"/>
        </w:rPr>
        <w:t xml:space="preserve">for the situs local government </w:t>
      </w:r>
      <w:r>
        <w:rPr>
          <w:sz w:val="22"/>
          <w:szCs w:val="22"/>
        </w:rPr>
        <w:t xml:space="preserve">and </w:t>
      </w:r>
      <w:r w:rsidR="000A461C" w:rsidRPr="00AD4728">
        <w:rPr>
          <w:sz w:val="22"/>
          <w:szCs w:val="22"/>
        </w:rPr>
        <w:t xml:space="preserve">describe </w:t>
      </w:r>
      <w:r>
        <w:rPr>
          <w:sz w:val="22"/>
          <w:szCs w:val="22"/>
        </w:rPr>
        <w:t xml:space="preserve">below </w:t>
      </w:r>
      <w:r w:rsidR="000A461C" w:rsidRPr="00AD4728">
        <w:rPr>
          <w:sz w:val="22"/>
          <w:szCs w:val="22"/>
        </w:rPr>
        <w:t xml:space="preserve">how the siting of the proposed waste management facility may </w:t>
      </w:r>
      <w:r w:rsidR="00292045" w:rsidRPr="00AD4728">
        <w:rPr>
          <w:sz w:val="22"/>
          <w:szCs w:val="22"/>
        </w:rPr>
        <w:t xml:space="preserve">or may not </w:t>
      </w:r>
      <w:r w:rsidR="000A461C" w:rsidRPr="00AD4728">
        <w:rPr>
          <w:sz w:val="22"/>
          <w:szCs w:val="22"/>
        </w:rPr>
        <w:t>impact existing local recycling an</w:t>
      </w:r>
      <w:r w:rsidR="00A9113D" w:rsidRPr="00AD4728">
        <w:rPr>
          <w:sz w:val="22"/>
          <w:szCs w:val="22"/>
        </w:rPr>
        <w:t>d waste reduction</w:t>
      </w:r>
      <w:r w:rsidR="000A461C" w:rsidRPr="00AD4728">
        <w:rPr>
          <w:sz w:val="22"/>
          <w:szCs w:val="22"/>
        </w:rPr>
        <w:t xml:space="preserve"> strategies described</w:t>
      </w:r>
      <w:r w:rsidR="00784727">
        <w:rPr>
          <w:sz w:val="22"/>
          <w:szCs w:val="22"/>
        </w:rPr>
        <w:t xml:space="preserve"> for the jurisdiction</w:t>
      </w:r>
      <w:r w:rsidR="000A461C" w:rsidRPr="00AD4728">
        <w:rPr>
          <w:sz w:val="22"/>
          <w:szCs w:val="22"/>
        </w:rPr>
        <w:t xml:space="preserve">. </w:t>
      </w:r>
      <w:r w:rsidR="009D5586" w:rsidRPr="00AD4728">
        <w:rPr>
          <w:sz w:val="22"/>
          <w:szCs w:val="22"/>
        </w:rPr>
        <w:t xml:space="preserve">The applicant may consider including a description of any </w:t>
      </w:r>
      <w:r w:rsidR="000A461C" w:rsidRPr="00AD4728">
        <w:rPr>
          <w:sz w:val="22"/>
          <w:szCs w:val="22"/>
        </w:rPr>
        <w:t>proposed recycling</w:t>
      </w:r>
      <w:r w:rsidR="00DC7AED" w:rsidRPr="00AD4728">
        <w:rPr>
          <w:sz w:val="22"/>
          <w:szCs w:val="22"/>
        </w:rPr>
        <w:t>, reuse or beneficial use</w:t>
      </w:r>
      <w:r w:rsidR="00292045" w:rsidRPr="00AD4728">
        <w:rPr>
          <w:sz w:val="22"/>
          <w:szCs w:val="22"/>
        </w:rPr>
        <w:t xml:space="preserve"> activities</w:t>
      </w:r>
      <w:r w:rsidR="009D5586" w:rsidRPr="00AD4728">
        <w:rPr>
          <w:sz w:val="22"/>
          <w:szCs w:val="22"/>
        </w:rPr>
        <w:t xml:space="preserve"> at the proposed disposal site for th</w:t>
      </w:r>
      <w:r w:rsidR="00DC7AED" w:rsidRPr="00AD4728">
        <w:rPr>
          <w:sz w:val="22"/>
          <w:szCs w:val="22"/>
        </w:rPr>
        <w:t xml:space="preserve">e local government to consider in determining if the facility may or may not </w:t>
      </w:r>
      <w:r w:rsidR="00A9113D" w:rsidRPr="00AD4728">
        <w:rPr>
          <w:sz w:val="22"/>
          <w:szCs w:val="22"/>
        </w:rPr>
        <w:t xml:space="preserve">negatively </w:t>
      </w:r>
      <w:r w:rsidR="00DC7AED" w:rsidRPr="00AD4728">
        <w:rPr>
          <w:sz w:val="22"/>
          <w:szCs w:val="22"/>
        </w:rPr>
        <w:t xml:space="preserve">impact the local recycling </w:t>
      </w:r>
      <w:r w:rsidR="000A461C" w:rsidRPr="00AD4728">
        <w:rPr>
          <w:sz w:val="22"/>
          <w:szCs w:val="22"/>
        </w:rPr>
        <w:t xml:space="preserve">and waste reduction strategy.  </w:t>
      </w:r>
    </w:p>
    <w:p w14:paraId="7B0B1083" w14:textId="77777777" w:rsidR="000D27C5" w:rsidRPr="00AD4728" w:rsidRDefault="000D27C5" w:rsidP="000D27C5">
      <w:pPr>
        <w:pStyle w:val="BodyTextIndent"/>
        <w:tabs>
          <w:tab w:val="left" w:pos="360"/>
        </w:tabs>
        <w:rPr>
          <w:sz w:val="22"/>
          <w:szCs w:val="22"/>
        </w:rPr>
      </w:pPr>
    </w:p>
    <w:p w14:paraId="728564D4" w14:textId="77777777" w:rsidR="000D27C5" w:rsidRPr="00AD4728" w:rsidRDefault="000D27C5" w:rsidP="00CF32A7">
      <w:pPr>
        <w:pStyle w:val="BodyTextIndent"/>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027A00F2" w14:textId="77777777" w:rsidR="000D27C5" w:rsidRPr="00AD4728" w:rsidRDefault="000D27C5" w:rsidP="00CF32A7">
      <w:pPr>
        <w:pStyle w:val="BodyTextIndent"/>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1D82F4FF" w14:textId="77777777" w:rsidR="000D27C5" w:rsidRPr="00AD4728" w:rsidRDefault="000D27C5" w:rsidP="00CF32A7">
      <w:pPr>
        <w:pStyle w:val="BodyTextIndent"/>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43FD8D24" w14:textId="77777777" w:rsidR="00A7185A" w:rsidRDefault="00A7185A" w:rsidP="000A461C">
      <w:pPr>
        <w:pStyle w:val="BodyTextIndent"/>
        <w:ind w:left="0"/>
        <w:rPr>
          <w:b/>
          <w:sz w:val="22"/>
          <w:szCs w:val="22"/>
          <w:u w:val="single"/>
        </w:rPr>
      </w:pPr>
    </w:p>
    <w:p w14:paraId="711C78E3" w14:textId="77777777" w:rsidR="000A461C" w:rsidRPr="00AD4728" w:rsidRDefault="000A461C" w:rsidP="000A461C">
      <w:pPr>
        <w:pStyle w:val="BodyTextIndent"/>
        <w:ind w:left="0"/>
        <w:rPr>
          <w:b/>
          <w:sz w:val="22"/>
          <w:szCs w:val="22"/>
        </w:rPr>
      </w:pPr>
      <w:r w:rsidRPr="00AD4728">
        <w:rPr>
          <w:b/>
          <w:sz w:val="22"/>
          <w:szCs w:val="22"/>
          <w:u w:val="single"/>
        </w:rPr>
        <w:t xml:space="preserve">Item </w:t>
      </w:r>
      <w:r w:rsidR="00737CF0">
        <w:rPr>
          <w:b/>
          <w:sz w:val="22"/>
          <w:szCs w:val="22"/>
          <w:u w:val="single"/>
        </w:rPr>
        <w:t>4</w:t>
      </w:r>
      <w:r w:rsidR="009D5586" w:rsidRPr="00AD4728">
        <w:rPr>
          <w:b/>
          <w:sz w:val="22"/>
          <w:szCs w:val="22"/>
          <w:u w:val="single"/>
        </w:rPr>
        <w:t>.</w:t>
      </w:r>
      <w:r w:rsidR="00FC6FCF" w:rsidRPr="00AD4728">
        <w:rPr>
          <w:b/>
          <w:sz w:val="22"/>
          <w:szCs w:val="22"/>
        </w:rPr>
        <w:t xml:space="preserve"> Certification that the proposed service area of the proposed facility is consistent with the local nonhazardous solid waste management plan;</w:t>
      </w:r>
    </w:p>
    <w:p w14:paraId="6C56A25C" w14:textId="77777777" w:rsidR="000A461C" w:rsidRPr="00AD4728" w:rsidRDefault="000A461C" w:rsidP="000A461C">
      <w:pPr>
        <w:pStyle w:val="BodyTextIndent"/>
        <w:ind w:left="0"/>
        <w:rPr>
          <w:sz w:val="22"/>
          <w:szCs w:val="22"/>
        </w:rPr>
      </w:pPr>
    </w:p>
    <w:p w14:paraId="529F940A" w14:textId="77777777" w:rsidR="009D5586" w:rsidRPr="00AD4728" w:rsidRDefault="00292045" w:rsidP="00292045">
      <w:pPr>
        <w:pStyle w:val="BodyTextIndent"/>
        <w:numPr>
          <w:ilvl w:val="0"/>
          <w:numId w:val="7"/>
        </w:numPr>
        <w:tabs>
          <w:tab w:val="left" w:pos="360"/>
        </w:tabs>
        <w:ind w:left="360"/>
        <w:rPr>
          <w:sz w:val="22"/>
          <w:szCs w:val="22"/>
        </w:rPr>
      </w:pPr>
      <w:r w:rsidRPr="00AD4728">
        <w:rPr>
          <w:sz w:val="22"/>
          <w:szCs w:val="22"/>
        </w:rPr>
        <w:t>Describe</w:t>
      </w:r>
      <w:r w:rsidR="00FC6FCF" w:rsidRPr="00AD4728">
        <w:rPr>
          <w:sz w:val="22"/>
          <w:szCs w:val="22"/>
        </w:rPr>
        <w:t xml:space="preserve"> the proposed service area of the facility. </w:t>
      </w:r>
      <w:r w:rsidRPr="00AD4728">
        <w:rPr>
          <w:sz w:val="22"/>
          <w:szCs w:val="22"/>
        </w:rPr>
        <w:t xml:space="preserve"> </w:t>
      </w:r>
      <w:r w:rsidR="00FC6FCF" w:rsidRPr="00AD4728">
        <w:rPr>
          <w:i/>
          <w:sz w:val="22"/>
          <w:szCs w:val="22"/>
        </w:rPr>
        <w:t xml:space="preserve">The service area is that </w:t>
      </w:r>
      <w:r w:rsidR="0010249E" w:rsidRPr="00AD4728">
        <w:rPr>
          <w:i/>
          <w:sz w:val="22"/>
          <w:szCs w:val="22"/>
        </w:rPr>
        <w:t xml:space="preserve">geographic </w:t>
      </w:r>
      <w:r w:rsidR="00FC6FCF" w:rsidRPr="00AD4728">
        <w:rPr>
          <w:i/>
          <w:sz w:val="22"/>
          <w:szCs w:val="22"/>
        </w:rPr>
        <w:t>area from which the proposed facility will</w:t>
      </w:r>
      <w:r w:rsidR="00A9113D" w:rsidRPr="00AD4728">
        <w:rPr>
          <w:i/>
          <w:sz w:val="22"/>
          <w:szCs w:val="22"/>
        </w:rPr>
        <w:t xml:space="preserve"> be allowed to</w:t>
      </w:r>
      <w:r w:rsidR="0010249E" w:rsidRPr="00AD4728">
        <w:rPr>
          <w:i/>
          <w:sz w:val="22"/>
          <w:szCs w:val="22"/>
        </w:rPr>
        <w:t xml:space="preserve"> accept</w:t>
      </w:r>
      <w:r w:rsidRPr="00AD4728">
        <w:rPr>
          <w:i/>
          <w:sz w:val="22"/>
          <w:szCs w:val="22"/>
        </w:rPr>
        <w:t xml:space="preserve"> solid wastes</w:t>
      </w:r>
      <w:r w:rsidR="00FC6FCF" w:rsidRPr="00AD4728">
        <w:rPr>
          <w:i/>
          <w:sz w:val="22"/>
          <w:szCs w:val="22"/>
        </w:rPr>
        <w:t xml:space="preserve">. </w:t>
      </w:r>
      <w:r w:rsidR="009D5586" w:rsidRPr="00AD4728">
        <w:rPr>
          <w:sz w:val="22"/>
          <w:szCs w:val="22"/>
        </w:rPr>
        <w:t>The service area shou</w:t>
      </w:r>
      <w:r w:rsidR="00A9113D" w:rsidRPr="00AD4728">
        <w:rPr>
          <w:sz w:val="22"/>
          <w:szCs w:val="22"/>
        </w:rPr>
        <w:t>ld be described in terms of th</w:t>
      </w:r>
      <w:r w:rsidR="009D5586" w:rsidRPr="00AD4728">
        <w:rPr>
          <w:sz w:val="22"/>
          <w:szCs w:val="22"/>
        </w:rPr>
        <w:t>e county or counties and/or state boundaries from which wastes may be disposed.</w:t>
      </w:r>
      <w:r w:rsidR="00FC6FCF" w:rsidRPr="00AD4728">
        <w:rPr>
          <w:sz w:val="22"/>
          <w:szCs w:val="22"/>
        </w:rPr>
        <w:t xml:space="preserve"> A specified radius (in miles) from the facility boundary or another selected boundary or point may be used as an initial guide, but MDEQ suggests that the specified radius be converted to the approximate governmental boundary equivalents (such as municipality, county, or state</w:t>
      </w:r>
      <w:r w:rsidRPr="00AD4728">
        <w:rPr>
          <w:sz w:val="22"/>
          <w:szCs w:val="22"/>
        </w:rPr>
        <w:t xml:space="preserve"> jurisdictions</w:t>
      </w:r>
      <w:r w:rsidR="00FC6FCF" w:rsidRPr="00AD4728">
        <w:rPr>
          <w:sz w:val="22"/>
          <w:szCs w:val="22"/>
        </w:rPr>
        <w:t xml:space="preserve">) to simplify the identification of service area boundaries. </w:t>
      </w:r>
    </w:p>
    <w:p w14:paraId="4EFF1DC5" w14:textId="77777777" w:rsidR="009D5586" w:rsidRPr="00AD4728" w:rsidRDefault="009D5586" w:rsidP="009D5586">
      <w:pPr>
        <w:pStyle w:val="BodyTextIndent"/>
        <w:tabs>
          <w:tab w:val="left" w:pos="360"/>
        </w:tabs>
        <w:rPr>
          <w:sz w:val="22"/>
          <w:szCs w:val="22"/>
        </w:rPr>
      </w:pPr>
    </w:p>
    <w:p w14:paraId="2C25FC1D" w14:textId="77777777" w:rsidR="009D5586" w:rsidRPr="00AD4728" w:rsidRDefault="000D27C5" w:rsidP="009D5586">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4845AD71"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341B97C7"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219A6AF6" w14:textId="77777777" w:rsidR="000D27C5" w:rsidRPr="005F1292" w:rsidRDefault="00784727" w:rsidP="000D27C5">
      <w:pPr>
        <w:pStyle w:val="BodyTextIndent"/>
        <w:numPr>
          <w:ilvl w:val="0"/>
          <w:numId w:val="7"/>
        </w:numPr>
        <w:tabs>
          <w:tab w:val="left" w:pos="360"/>
        </w:tabs>
        <w:ind w:left="360"/>
        <w:rPr>
          <w:sz w:val="22"/>
          <w:szCs w:val="22"/>
        </w:rPr>
      </w:pPr>
      <w:r>
        <w:rPr>
          <w:sz w:val="22"/>
          <w:szCs w:val="22"/>
        </w:rPr>
        <w:lastRenderedPageBreak/>
        <w:t xml:space="preserve">The applicant should </w:t>
      </w:r>
      <w:r w:rsidR="005F1292" w:rsidRPr="005F1292">
        <w:rPr>
          <w:sz w:val="22"/>
          <w:szCs w:val="22"/>
        </w:rPr>
        <w:t>provide a</w:t>
      </w:r>
      <w:r w:rsidR="001B50E8">
        <w:rPr>
          <w:sz w:val="22"/>
          <w:szCs w:val="22"/>
        </w:rPr>
        <w:t xml:space="preserve"> written</w:t>
      </w:r>
      <w:r w:rsidR="005F1292" w:rsidRPr="005F1292">
        <w:rPr>
          <w:sz w:val="22"/>
          <w:szCs w:val="22"/>
        </w:rPr>
        <w:t xml:space="preserve"> explanation or justification </w:t>
      </w:r>
      <w:r w:rsidR="001B50E8">
        <w:rPr>
          <w:sz w:val="22"/>
          <w:szCs w:val="22"/>
        </w:rPr>
        <w:t xml:space="preserve">below </w:t>
      </w:r>
      <w:r w:rsidR="005F1292" w:rsidRPr="005F1292">
        <w:rPr>
          <w:sz w:val="22"/>
          <w:szCs w:val="22"/>
        </w:rPr>
        <w:t xml:space="preserve">for the proposed service area of the facility in order for the local government to determine the consistency of the proposed service area with its local solid waste plan. </w:t>
      </w:r>
      <w:r w:rsidR="004F113B">
        <w:rPr>
          <w:sz w:val="22"/>
          <w:szCs w:val="22"/>
        </w:rPr>
        <w:t>This j</w:t>
      </w:r>
      <w:r w:rsidR="005F1292">
        <w:rPr>
          <w:sz w:val="22"/>
          <w:szCs w:val="22"/>
        </w:rPr>
        <w:t xml:space="preserve">ustification should </w:t>
      </w:r>
      <w:r w:rsidR="004F113B">
        <w:rPr>
          <w:sz w:val="22"/>
          <w:szCs w:val="22"/>
        </w:rPr>
        <w:t>receive added emphasis</w:t>
      </w:r>
      <w:r w:rsidR="005F1292">
        <w:rPr>
          <w:sz w:val="22"/>
          <w:szCs w:val="22"/>
        </w:rPr>
        <w:t xml:space="preserve"> </w:t>
      </w:r>
      <w:r w:rsidR="004F113B">
        <w:rPr>
          <w:sz w:val="22"/>
          <w:szCs w:val="22"/>
        </w:rPr>
        <w:t>when the proposed</w:t>
      </w:r>
      <w:r w:rsidR="00A9113D" w:rsidRPr="005F1292">
        <w:rPr>
          <w:sz w:val="22"/>
          <w:szCs w:val="22"/>
        </w:rPr>
        <w:t xml:space="preserve"> service area </w:t>
      </w:r>
      <w:r w:rsidR="005F1292" w:rsidRPr="005F1292">
        <w:rPr>
          <w:sz w:val="22"/>
          <w:szCs w:val="22"/>
        </w:rPr>
        <w:t xml:space="preserve">is larger than the area of </w:t>
      </w:r>
      <w:r w:rsidR="005F1292">
        <w:rPr>
          <w:sz w:val="22"/>
          <w:szCs w:val="22"/>
        </w:rPr>
        <w:t>“routine</w:t>
      </w:r>
      <w:r w:rsidR="005F1292" w:rsidRPr="005F1292">
        <w:rPr>
          <w:sz w:val="22"/>
          <w:szCs w:val="22"/>
        </w:rPr>
        <w:t xml:space="preserve"> service</w:t>
      </w:r>
      <w:r w:rsidR="005F1292">
        <w:rPr>
          <w:sz w:val="22"/>
          <w:szCs w:val="22"/>
        </w:rPr>
        <w:t>”</w:t>
      </w:r>
      <w:r w:rsidR="00A9113D" w:rsidRPr="005F1292">
        <w:rPr>
          <w:sz w:val="22"/>
          <w:szCs w:val="22"/>
        </w:rPr>
        <w:t xml:space="preserve"> to accommodate for extraordinary or special </w:t>
      </w:r>
      <w:r w:rsidR="005F1292">
        <w:rPr>
          <w:sz w:val="22"/>
          <w:szCs w:val="22"/>
        </w:rPr>
        <w:t xml:space="preserve">waste disposal </w:t>
      </w:r>
      <w:r w:rsidR="00A9113D" w:rsidRPr="005F1292">
        <w:rPr>
          <w:sz w:val="22"/>
          <w:szCs w:val="22"/>
        </w:rPr>
        <w:t xml:space="preserve">circumstances.  </w:t>
      </w:r>
    </w:p>
    <w:p w14:paraId="3C0625A7" w14:textId="77777777" w:rsidR="000D27C5" w:rsidRPr="00AD4728" w:rsidRDefault="000D27C5" w:rsidP="000D27C5">
      <w:pPr>
        <w:pStyle w:val="BodyTextIndent"/>
        <w:tabs>
          <w:tab w:val="left" w:pos="360"/>
        </w:tabs>
        <w:rPr>
          <w:sz w:val="22"/>
          <w:szCs w:val="22"/>
        </w:rPr>
      </w:pPr>
    </w:p>
    <w:p w14:paraId="52DF39AE"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58B4A306"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r w:rsidRPr="00AD4728">
        <w:rPr>
          <w:noProof/>
          <w:sz w:val="22"/>
          <w:szCs w:val="22"/>
          <w:u w:val="single"/>
        </w:rPr>
        <w:t> </w:t>
      </w:r>
      <w:r w:rsidRPr="00AD4728">
        <w:rPr>
          <w:sz w:val="22"/>
          <w:szCs w:val="22"/>
          <w:u w:val="single"/>
        </w:rPr>
        <w:fldChar w:fldCharType="end"/>
      </w:r>
    </w:p>
    <w:p w14:paraId="24DEFCB7" w14:textId="77777777" w:rsidR="000D27C5" w:rsidRPr="00AD4728" w:rsidRDefault="000D27C5" w:rsidP="000D27C5">
      <w:pPr>
        <w:pStyle w:val="BodyTextIndent"/>
        <w:tabs>
          <w:tab w:val="left" w:pos="360"/>
        </w:tabs>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1991C2AA" w14:textId="77777777" w:rsidR="00AD4728" w:rsidRDefault="00AD4728" w:rsidP="000A461C">
      <w:pPr>
        <w:pStyle w:val="BodyTextIndent"/>
        <w:ind w:left="0"/>
        <w:rPr>
          <w:b/>
          <w:sz w:val="22"/>
          <w:szCs w:val="22"/>
          <w:u w:val="single"/>
        </w:rPr>
      </w:pPr>
    </w:p>
    <w:p w14:paraId="07E5A07E" w14:textId="77777777" w:rsidR="000A461C" w:rsidRPr="00AD4728" w:rsidRDefault="000A461C" w:rsidP="000A461C">
      <w:pPr>
        <w:pStyle w:val="BodyTextIndent"/>
        <w:ind w:left="0"/>
        <w:rPr>
          <w:b/>
          <w:sz w:val="22"/>
          <w:szCs w:val="22"/>
          <w:u w:val="single"/>
        </w:rPr>
      </w:pPr>
      <w:r w:rsidRPr="00AD4728">
        <w:rPr>
          <w:b/>
          <w:sz w:val="22"/>
          <w:szCs w:val="22"/>
          <w:u w:val="single"/>
        </w:rPr>
        <w:t xml:space="preserve">Item </w:t>
      </w:r>
      <w:r w:rsidR="00737CF0">
        <w:rPr>
          <w:b/>
          <w:sz w:val="22"/>
          <w:szCs w:val="22"/>
          <w:u w:val="single"/>
        </w:rPr>
        <w:t>5</w:t>
      </w:r>
      <w:r w:rsidR="009D5586" w:rsidRPr="00AD4728">
        <w:rPr>
          <w:b/>
          <w:sz w:val="22"/>
          <w:szCs w:val="22"/>
          <w:u w:val="single"/>
        </w:rPr>
        <w:t>.</w:t>
      </w:r>
      <w:r w:rsidR="00FC6FCF" w:rsidRPr="00AD4728">
        <w:rPr>
          <w:sz w:val="22"/>
          <w:szCs w:val="22"/>
        </w:rPr>
        <w:t xml:space="preserve"> </w:t>
      </w:r>
      <w:r w:rsidR="00FC6FCF" w:rsidRPr="00AD4728">
        <w:rPr>
          <w:b/>
          <w:sz w:val="22"/>
          <w:szCs w:val="22"/>
        </w:rPr>
        <w:t>A description of the extent to which the proposed facility is needed to replace other facilities</w:t>
      </w:r>
      <w:r w:rsidR="004B4D69">
        <w:rPr>
          <w:b/>
          <w:sz w:val="22"/>
          <w:szCs w:val="22"/>
        </w:rPr>
        <w:t>.</w:t>
      </w:r>
    </w:p>
    <w:p w14:paraId="0F4AC61D" w14:textId="77777777" w:rsidR="000A461C" w:rsidRPr="00AD4728" w:rsidRDefault="000A461C" w:rsidP="000A461C">
      <w:pPr>
        <w:pStyle w:val="BodyTextIndent"/>
        <w:ind w:left="0"/>
        <w:rPr>
          <w:sz w:val="22"/>
          <w:szCs w:val="22"/>
        </w:rPr>
      </w:pPr>
    </w:p>
    <w:p w14:paraId="429EECD3" w14:textId="77777777" w:rsidR="000A461C" w:rsidRPr="00AD4728" w:rsidRDefault="00292045" w:rsidP="000A461C">
      <w:pPr>
        <w:pStyle w:val="BodyTextIndent"/>
        <w:ind w:left="0"/>
        <w:rPr>
          <w:sz w:val="22"/>
          <w:szCs w:val="22"/>
        </w:rPr>
      </w:pPr>
      <w:r w:rsidRPr="00AD4728">
        <w:rPr>
          <w:sz w:val="22"/>
          <w:szCs w:val="22"/>
        </w:rPr>
        <w:t>Describe how the</w:t>
      </w:r>
      <w:r w:rsidR="000A461C" w:rsidRPr="00AD4728">
        <w:rPr>
          <w:sz w:val="22"/>
          <w:szCs w:val="22"/>
        </w:rPr>
        <w:t xml:space="preserve"> proposed</w:t>
      </w:r>
      <w:r w:rsidR="009D5586" w:rsidRPr="00AD4728">
        <w:rPr>
          <w:sz w:val="22"/>
          <w:szCs w:val="22"/>
        </w:rPr>
        <w:t xml:space="preserve"> disposal </w:t>
      </w:r>
      <w:r w:rsidR="000A461C" w:rsidRPr="00AD4728">
        <w:rPr>
          <w:sz w:val="22"/>
          <w:szCs w:val="22"/>
        </w:rPr>
        <w:t>facility is intended to replace</w:t>
      </w:r>
      <w:r w:rsidR="00BE26C0" w:rsidRPr="00AD4728">
        <w:rPr>
          <w:sz w:val="22"/>
          <w:szCs w:val="22"/>
        </w:rPr>
        <w:t xml:space="preserve"> </w:t>
      </w:r>
      <w:r w:rsidR="008C1387">
        <w:rPr>
          <w:sz w:val="22"/>
          <w:szCs w:val="22"/>
        </w:rPr>
        <w:t xml:space="preserve">disposal </w:t>
      </w:r>
      <w:r w:rsidR="00BE26C0" w:rsidRPr="00AD4728">
        <w:rPr>
          <w:sz w:val="22"/>
          <w:szCs w:val="22"/>
        </w:rPr>
        <w:t>capa</w:t>
      </w:r>
      <w:r w:rsidR="008C1387">
        <w:rPr>
          <w:sz w:val="22"/>
          <w:szCs w:val="22"/>
        </w:rPr>
        <w:t>city that has been exhausted</w:t>
      </w:r>
      <w:r w:rsidR="00BE26C0" w:rsidRPr="00AD4728">
        <w:rPr>
          <w:sz w:val="22"/>
          <w:szCs w:val="22"/>
        </w:rPr>
        <w:t xml:space="preserve"> at </w:t>
      </w:r>
      <w:r w:rsidR="000A461C" w:rsidRPr="00AD4728">
        <w:rPr>
          <w:sz w:val="22"/>
          <w:szCs w:val="22"/>
        </w:rPr>
        <w:t xml:space="preserve">existing </w:t>
      </w:r>
      <w:r w:rsidR="00BE26C0" w:rsidRPr="00AD4728">
        <w:rPr>
          <w:sz w:val="22"/>
          <w:szCs w:val="22"/>
        </w:rPr>
        <w:t xml:space="preserve">operational </w:t>
      </w:r>
      <w:r w:rsidR="008C1387">
        <w:rPr>
          <w:sz w:val="22"/>
          <w:szCs w:val="22"/>
        </w:rPr>
        <w:t xml:space="preserve">disposal </w:t>
      </w:r>
      <w:r w:rsidR="00866AE5">
        <w:rPr>
          <w:sz w:val="22"/>
          <w:szCs w:val="22"/>
        </w:rPr>
        <w:t>facilities</w:t>
      </w:r>
      <w:r w:rsidR="005F1292">
        <w:rPr>
          <w:sz w:val="22"/>
          <w:szCs w:val="22"/>
        </w:rPr>
        <w:t>. This disposal capacity could have been consumed</w:t>
      </w:r>
      <w:r w:rsidR="00CF32A7">
        <w:rPr>
          <w:sz w:val="22"/>
          <w:szCs w:val="22"/>
        </w:rPr>
        <w:t xml:space="preserve"> at the facility that the applicant is seeking to expand</w:t>
      </w:r>
      <w:r w:rsidR="005F1292">
        <w:rPr>
          <w:sz w:val="22"/>
          <w:szCs w:val="22"/>
        </w:rPr>
        <w:t>, at another local disposal facility</w:t>
      </w:r>
      <w:r w:rsidR="00CF32A7">
        <w:rPr>
          <w:sz w:val="22"/>
          <w:szCs w:val="22"/>
        </w:rPr>
        <w:t xml:space="preserve">, </w:t>
      </w:r>
      <w:r w:rsidRPr="00AD4728">
        <w:rPr>
          <w:sz w:val="22"/>
          <w:szCs w:val="22"/>
        </w:rPr>
        <w:t xml:space="preserve">or at a closed facility that is no longer in operation. </w:t>
      </w:r>
      <w:r w:rsidR="009D5586" w:rsidRPr="00AD4728">
        <w:rPr>
          <w:sz w:val="22"/>
          <w:szCs w:val="22"/>
        </w:rPr>
        <w:t xml:space="preserve">Where possible, identify the amount of capacity that has been utilized that the proposed new capacity is intended to replace.  </w:t>
      </w:r>
    </w:p>
    <w:p w14:paraId="65F02D85" w14:textId="77777777" w:rsidR="000D27C5" w:rsidRPr="00AD4728" w:rsidRDefault="000D27C5" w:rsidP="000A461C">
      <w:pPr>
        <w:pStyle w:val="BodyTextIndent"/>
        <w:ind w:left="0"/>
        <w:rPr>
          <w:sz w:val="22"/>
          <w:szCs w:val="22"/>
        </w:rPr>
      </w:pPr>
    </w:p>
    <w:p w14:paraId="4A0F4379" w14:textId="77777777" w:rsidR="000D27C5" w:rsidRPr="00AD4728" w:rsidRDefault="000D27C5" w:rsidP="00CF32A7">
      <w:pPr>
        <w:pStyle w:val="BodyTextIndent"/>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469C51F9" w14:textId="77777777" w:rsidR="000D27C5" w:rsidRPr="00AD4728" w:rsidRDefault="000D27C5" w:rsidP="00CF32A7">
      <w:pPr>
        <w:pStyle w:val="BodyTextIndent"/>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76018F33" w14:textId="77777777" w:rsidR="000D27C5" w:rsidRPr="00AD4728" w:rsidRDefault="000D27C5" w:rsidP="000D27C5">
      <w:pPr>
        <w:pStyle w:val="BodyTextIndent"/>
        <w:rPr>
          <w:sz w:val="22"/>
          <w:szCs w:val="22"/>
        </w:rPr>
      </w:pP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Pr="00AD4728">
        <w:rPr>
          <w:sz w:val="22"/>
          <w:szCs w:val="22"/>
          <w:u w:val="single"/>
        </w:rPr>
        <w:fldChar w:fldCharType="begin">
          <w:ffData>
            <w:name w:val="Text10"/>
            <w:enabled/>
            <w:calcOnExit w:val="0"/>
            <w:textInput/>
          </w:ffData>
        </w:fldChar>
      </w:r>
      <w:r w:rsidRPr="00AD4728">
        <w:rPr>
          <w:sz w:val="22"/>
          <w:szCs w:val="22"/>
          <w:u w:val="single"/>
        </w:rPr>
        <w:instrText xml:space="preserve"> FORMTEXT </w:instrText>
      </w:r>
      <w:r w:rsidRPr="00AD4728">
        <w:rPr>
          <w:sz w:val="22"/>
          <w:szCs w:val="22"/>
          <w:u w:val="single"/>
        </w:rPr>
      </w:r>
      <w:r w:rsidRPr="00AD4728">
        <w:rPr>
          <w:sz w:val="22"/>
          <w:szCs w:val="22"/>
          <w:u w:val="single"/>
        </w:rPr>
        <w:fldChar w:fldCharType="separate"/>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noProof/>
          <w:sz w:val="22"/>
          <w:szCs w:val="22"/>
          <w:u w:val="single"/>
        </w:rPr>
        <w:t> </w:t>
      </w:r>
      <w:r w:rsidRPr="00AD4728">
        <w:rPr>
          <w:sz w:val="22"/>
          <w:szCs w:val="22"/>
          <w:u w:val="single"/>
        </w:rPr>
        <w:fldChar w:fldCharType="end"/>
      </w:r>
      <w:r w:rsidR="00B90577" w:rsidRPr="00AD4728">
        <w:rPr>
          <w:sz w:val="22"/>
          <w:szCs w:val="22"/>
          <w:u w:val="single"/>
        </w:rPr>
        <w:fldChar w:fldCharType="begin">
          <w:ffData>
            <w:name w:val="Text10"/>
            <w:enabled/>
            <w:calcOnExit w:val="0"/>
            <w:textInput/>
          </w:ffData>
        </w:fldChar>
      </w:r>
      <w:r w:rsidR="00B90577" w:rsidRPr="00AD4728">
        <w:rPr>
          <w:sz w:val="22"/>
          <w:szCs w:val="22"/>
          <w:u w:val="single"/>
        </w:rPr>
        <w:instrText xml:space="preserve"> FORMTEXT </w:instrText>
      </w:r>
      <w:r w:rsidR="00B90577" w:rsidRPr="00AD4728">
        <w:rPr>
          <w:sz w:val="22"/>
          <w:szCs w:val="22"/>
          <w:u w:val="single"/>
        </w:rPr>
      </w:r>
      <w:r w:rsidR="00B90577" w:rsidRPr="00AD4728">
        <w:rPr>
          <w:sz w:val="22"/>
          <w:szCs w:val="22"/>
          <w:u w:val="single"/>
        </w:rPr>
        <w:fldChar w:fldCharType="separate"/>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noProof/>
          <w:sz w:val="22"/>
          <w:szCs w:val="22"/>
          <w:u w:val="single"/>
        </w:rPr>
        <w:t> </w:t>
      </w:r>
      <w:r w:rsidR="00B90577" w:rsidRPr="00AD4728">
        <w:rPr>
          <w:sz w:val="22"/>
          <w:szCs w:val="22"/>
          <w:u w:val="single"/>
        </w:rPr>
        <w:fldChar w:fldCharType="end"/>
      </w:r>
    </w:p>
    <w:p w14:paraId="34DF9E40" w14:textId="77777777" w:rsidR="000D27C5" w:rsidRPr="00AD4728" w:rsidRDefault="000D27C5" w:rsidP="000D27C5">
      <w:pPr>
        <w:pStyle w:val="BodyTextIndent"/>
        <w:ind w:left="0"/>
        <w:rPr>
          <w:sz w:val="22"/>
          <w:szCs w:val="22"/>
        </w:rPr>
      </w:pPr>
    </w:p>
    <w:p w14:paraId="01C6C782" w14:textId="77777777" w:rsidR="000C7053" w:rsidRDefault="001145DB" w:rsidP="001145DB">
      <w:pPr>
        <w:pStyle w:val="BodyTextIndent"/>
        <w:ind w:left="720"/>
        <w:jc w:val="center"/>
        <w:rPr>
          <w:b/>
          <w:sz w:val="28"/>
          <w:szCs w:val="28"/>
          <w:u w:val="single"/>
        </w:rPr>
      </w:pPr>
      <w:r w:rsidRPr="00CB355C">
        <w:rPr>
          <w:b/>
          <w:sz w:val="28"/>
          <w:szCs w:val="28"/>
          <w:u w:val="single"/>
        </w:rPr>
        <w:t xml:space="preserve"> </w:t>
      </w:r>
    </w:p>
    <w:p w14:paraId="41E079ED" w14:textId="77777777" w:rsidR="000C7053" w:rsidRDefault="000C7053">
      <w:pPr>
        <w:rPr>
          <w:b/>
          <w:sz w:val="28"/>
          <w:szCs w:val="28"/>
          <w:u w:val="single"/>
        </w:rPr>
      </w:pPr>
      <w:r>
        <w:rPr>
          <w:b/>
          <w:sz w:val="28"/>
          <w:szCs w:val="28"/>
          <w:u w:val="single"/>
        </w:rPr>
        <w:br w:type="page"/>
      </w:r>
    </w:p>
    <w:p w14:paraId="5BB25FAD" w14:textId="77777777" w:rsidR="001145DB" w:rsidRPr="00CB355C" w:rsidRDefault="005F1292" w:rsidP="001145DB">
      <w:pPr>
        <w:pStyle w:val="BodyTextIndent"/>
        <w:ind w:left="720"/>
        <w:jc w:val="center"/>
        <w:rPr>
          <w:b/>
          <w:sz w:val="28"/>
          <w:szCs w:val="28"/>
          <w:u w:val="single"/>
        </w:rPr>
      </w:pPr>
      <w:r w:rsidRPr="00CB355C">
        <w:rPr>
          <w:b/>
          <w:sz w:val="28"/>
          <w:szCs w:val="28"/>
          <w:u w:val="single"/>
        </w:rPr>
        <w:lastRenderedPageBreak/>
        <w:t xml:space="preserve">Capacity Verification </w:t>
      </w:r>
      <w:r w:rsidR="001145DB" w:rsidRPr="00CB355C">
        <w:rPr>
          <w:b/>
          <w:sz w:val="28"/>
          <w:szCs w:val="28"/>
          <w:u w:val="single"/>
        </w:rPr>
        <w:t>Example</w:t>
      </w:r>
      <w:r w:rsidR="00B01A57" w:rsidRPr="00CB355C">
        <w:rPr>
          <w:b/>
          <w:sz w:val="28"/>
          <w:szCs w:val="28"/>
          <w:u w:val="single"/>
        </w:rPr>
        <w:t xml:space="preserve"> 1</w:t>
      </w:r>
    </w:p>
    <w:p w14:paraId="650D53E0" w14:textId="77777777" w:rsidR="001145DB" w:rsidRPr="000972C7" w:rsidRDefault="001145DB" w:rsidP="001145DB">
      <w:pPr>
        <w:pStyle w:val="BodyTextIndent"/>
        <w:ind w:left="720"/>
        <w:rPr>
          <w:sz w:val="22"/>
          <w:szCs w:val="22"/>
        </w:rPr>
      </w:pPr>
    </w:p>
    <w:p w14:paraId="4B57A505" w14:textId="77777777" w:rsidR="001145DB" w:rsidRPr="00534491" w:rsidRDefault="001145DB" w:rsidP="00D2420D">
      <w:pPr>
        <w:pStyle w:val="BodyTextIndent"/>
        <w:numPr>
          <w:ilvl w:val="0"/>
          <w:numId w:val="11"/>
        </w:numPr>
        <w:spacing w:after="160"/>
        <w:rPr>
          <w:sz w:val="22"/>
          <w:szCs w:val="22"/>
        </w:rPr>
      </w:pPr>
      <w:r w:rsidRPr="00534491">
        <w:rPr>
          <w:sz w:val="22"/>
          <w:szCs w:val="22"/>
        </w:rPr>
        <w:t>The Martin County Board of Supervisors has proposed to expand its rubbish site</w:t>
      </w:r>
      <w:r w:rsidR="004F113B" w:rsidRPr="00534491">
        <w:rPr>
          <w:sz w:val="22"/>
          <w:szCs w:val="22"/>
        </w:rPr>
        <w:t>.  The county has</w:t>
      </w:r>
      <w:r w:rsidRPr="00534491">
        <w:rPr>
          <w:sz w:val="22"/>
          <w:szCs w:val="22"/>
        </w:rPr>
        <w:t xml:space="preserve"> a population of roughly 35,000 people.  The </w:t>
      </w:r>
      <w:r w:rsidR="00CB355C" w:rsidRPr="00534491">
        <w:rPr>
          <w:sz w:val="22"/>
          <w:szCs w:val="22"/>
        </w:rPr>
        <w:t xml:space="preserve">design </w:t>
      </w:r>
      <w:r w:rsidRPr="00534491">
        <w:rPr>
          <w:sz w:val="22"/>
          <w:szCs w:val="22"/>
        </w:rPr>
        <w:t>capacity for the proposed 25 acre expansion constructed 20 feet above grade has been determined to be 620,000 cubic yards.</w:t>
      </w:r>
    </w:p>
    <w:p w14:paraId="7C629930" w14:textId="77777777" w:rsidR="001145DB" w:rsidRPr="00534491" w:rsidRDefault="001145DB" w:rsidP="00F7191C">
      <w:pPr>
        <w:pStyle w:val="BodyTextIndent"/>
        <w:numPr>
          <w:ilvl w:val="0"/>
          <w:numId w:val="11"/>
        </w:numPr>
        <w:spacing w:after="160"/>
        <w:rPr>
          <w:sz w:val="22"/>
          <w:szCs w:val="22"/>
        </w:rPr>
      </w:pPr>
      <w:r w:rsidRPr="00534491">
        <w:rPr>
          <w:sz w:val="22"/>
          <w:szCs w:val="22"/>
        </w:rPr>
        <w:t xml:space="preserve">It is projected that roughly 50,000 cubic yards of capacity over the life of the facility will be consumed with periodic/final cover allowing roughly 570,000 cubic yards of </w:t>
      </w:r>
      <w:r w:rsidR="00783BF6" w:rsidRPr="00534491">
        <w:rPr>
          <w:sz w:val="22"/>
          <w:szCs w:val="22"/>
        </w:rPr>
        <w:t xml:space="preserve">waste </w:t>
      </w:r>
      <w:r w:rsidRPr="00534491">
        <w:rPr>
          <w:sz w:val="22"/>
          <w:szCs w:val="22"/>
        </w:rPr>
        <w:t>disposal space.</w:t>
      </w:r>
    </w:p>
    <w:p w14:paraId="6D9BC79D" w14:textId="77777777" w:rsidR="001145DB" w:rsidRPr="00534491" w:rsidRDefault="001145DB" w:rsidP="00E6285B">
      <w:pPr>
        <w:pStyle w:val="BodyTextIndent"/>
        <w:numPr>
          <w:ilvl w:val="0"/>
          <w:numId w:val="11"/>
        </w:numPr>
        <w:spacing w:after="160"/>
        <w:rPr>
          <w:sz w:val="22"/>
          <w:szCs w:val="22"/>
        </w:rPr>
      </w:pPr>
      <w:r w:rsidRPr="00534491">
        <w:rPr>
          <w:sz w:val="22"/>
          <w:szCs w:val="22"/>
        </w:rPr>
        <w:t xml:space="preserve">It is also anticipated that based on available compaction equipment and the type of rubbish wastes, the county expects an in-place waste density of approximately 750 lbs/cubic yards.  </w:t>
      </w:r>
    </w:p>
    <w:p w14:paraId="0C45B192" w14:textId="77777777" w:rsidR="001145DB" w:rsidRPr="00534491" w:rsidRDefault="001145DB" w:rsidP="00EC2EBB">
      <w:pPr>
        <w:pStyle w:val="BodyTextIndent"/>
        <w:numPr>
          <w:ilvl w:val="0"/>
          <w:numId w:val="11"/>
        </w:numPr>
        <w:spacing w:after="160"/>
        <w:rPr>
          <w:sz w:val="22"/>
          <w:szCs w:val="22"/>
        </w:rPr>
      </w:pPr>
      <w:r w:rsidRPr="00534491">
        <w:rPr>
          <w:sz w:val="22"/>
          <w:szCs w:val="22"/>
        </w:rPr>
        <w:t>The county is proposing a service area for the site that includes only Martin County’s wastes</w:t>
      </w:r>
      <w:r w:rsidR="00534491" w:rsidRPr="00534491">
        <w:rPr>
          <w:sz w:val="22"/>
          <w:szCs w:val="22"/>
        </w:rPr>
        <w:t xml:space="preserve">. </w:t>
      </w:r>
    </w:p>
    <w:p w14:paraId="68B9F84A" w14:textId="77777777" w:rsidR="001145DB" w:rsidRPr="00534491" w:rsidRDefault="001145DB" w:rsidP="009D5F6F">
      <w:pPr>
        <w:pStyle w:val="BodyTextIndent"/>
        <w:numPr>
          <w:ilvl w:val="0"/>
          <w:numId w:val="11"/>
        </w:numPr>
        <w:spacing w:after="160"/>
        <w:rPr>
          <w:sz w:val="22"/>
          <w:szCs w:val="22"/>
        </w:rPr>
      </w:pPr>
      <w:r w:rsidRPr="00534491">
        <w:rPr>
          <w:sz w:val="22"/>
          <w:szCs w:val="22"/>
        </w:rPr>
        <w:t>Historic rubbish disposal volumes indicate that there is an average of approximately 14,000 tons of rubbish per year being disposed in the county.  Over the 20 year planning period, this projects out to 28</w:t>
      </w:r>
      <w:r w:rsidR="00737CF0" w:rsidRPr="00534491">
        <w:rPr>
          <w:sz w:val="22"/>
          <w:szCs w:val="22"/>
        </w:rPr>
        <w:t>0</w:t>
      </w:r>
      <w:r w:rsidRPr="00534491">
        <w:rPr>
          <w:sz w:val="22"/>
          <w:szCs w:val="22"/>
        </w:rPr>
        <w:t xml:space="preserve">,000 tons. </w:t>
      </w:r>
    </w:p>
    <w:p w14:paraId="41772F4F" w14:textId="77777777" w:rsidR="001145DB" w:rsidRPr="00534491" w:rsidRDefault="001145DB" w:rsidP="00D90F1E">
      <w:pPr>
        <w:pStyle w:val="BodyTextIndent"/>
        <w:numPr>
          <w:ilvl w:val="0"/>
          <w:numId w:val="11"/>
        </w:numPr>
        <w:spacing w:after="160"/>
        <w:rPr>
          <w:sz w:val="22"/>
          <w:szCs w:val="22"/>
        </w:rPr>
      </w:pPr>
      <w:r w:rsidRPr="00534491">
        <w:rPr>
          <w:sz w:val="22"/>
          <w:szCs w:val="22"/>
        </w:rPr>
        <w:t>With anticipated population growth over the 20</w:t>
      </w:r>
      <w:r w:rsidR="00534491">
        <w:rPr>
          <w:sz w:val="22"/>
          <w:szCs w:val="22"/>
        </w:rPr>
        <w:t>-</w:t>
      </w:r>
      <w:r w:rsidRPr="00534491">
        <w:rPr>
          <w:sz w:val="22"/>
          <w:szCs w:val="22"/>
        </w:rPr>
        <w:t xml:space="preserve">year period of approximately 5%, an additional 14,000 tons is projected to be disposed for a total of 296,000 tons of incoming wastes. </w:t>
      </w:r>
    </w:p>
    <w:p w14:paraId="145ED047" w14:textId="77777777" w:rsidR="001145DB" w:rsidRPr="00534491" w:rsidRDefault="00783BF6" w:rsidP="00A44366">
      <w:pPr>
        <w:pStyle w:val="BodyTextIndent"/>
        <w:numPr>
          <w:ilvl w:val="0"/>
          <w:numId w:val="11"/>
        </w:numPr>
        <w:spacing w:after="160"/>
        <w:rPr>
          <w:sz w:val="22"/>
          <w:szCs w:val="22"/>
        </w:rPr>
      </w:pPr>
      <w:r w:rsidRPr="00534491">
        <w:rPr>
          <w:sz w:val="22"/>
          <w:szCs w:val="22"/>
        </w:rPr>
        <w:t>Based on these factors, the landfill is p</w:t>
      </w:r>
      <w:r w:rsidR="001145DB" w:rsidRPr="00534491">
        <w:rPr>
          <w:sz w:val="22"/>
          <w:szCs w:val="22"/>
        </w:rPr>
        <w:t>rojected to use 39,593 c</w:t>
      </w:r>
      <w:r w:rsidRPr="00534491">
        <w:rPr>
          <w:sz w:val="22"/>
          <w:szCs w:val="22"/>
        </w:rPr>
        <w:t>ubic yards of air space annually.</w:t>
      </w:r>
    </w:p>
    <w:p w14:paraId="146900D2" w14:textId="77777777" w:rsidR="009D28E9" w:rsidRPr="001145DB" w:rsidRDefault="001145DB" w:rsidP="00534491">
      <w:pPr>
        <w:pStyle w:val="BodyTextIndent"/>
        <w:numPr>
          <w:ilvl w:val="0"/>
          <w:numId w:val="11"/>
        </w:numPr>
        <w:spacing w:after="160"/>
        <w:rPr>
          <w:sz w:val="22"/>
          <w:szCs w:val="22"/>
        </w:rPr>
      </w:pPr>
      <w:r>
        <w:rPr>
          <w:sz w:val="22"/>
          <w:szCs w:val="22"/>
        </w:rPr>
        <w:t>Taking into account that existing disposal capacity and the incoming volume of wastes, the l</w:t>
      </w:r>
      <w:r w:rsidRPr="001145DB">
        <w:rPr>
          <w:sz w:val="22"/>
          <w:szCs w:val="22"/>
        </w:rPr>
        <w:t xml:space="preserve">ife expectancy of the </w:t>
      </w:r>
      <w:r>
        <w:rPr>
          <w:sz w:val="22"/>
          <w:szCs w:val="22"/>
        </w:rPr>
        <w:t xml:space="preserve">proposed </w:t>
      </w:r>
      <w:r w:rsidRPr="001145DB">
        <w:rPr>
          <w:sz w:val="22"/>
          <w:szCs w:val="22"/>
        </w:rPr>
        <w:t xml:space="preserve">expansion is roughly 14 years.  </w:t>
      </w:r>
      <w:r w:rsidR="00702649">
        <w:rPr>
          <w:sz w:val="22"/>
          <w:szCs w:val="22"/>
        </w:rPr>
        <w:t xml:space="preserve">This would fall within the 20 year planning range and would likely need no additional justification.  </w:t>
      </w:r>
      <w:r w:rsidRPr="001145DB">
        <w:rPr>
          <w:sz w:val="22"/>
          <w:szCs w:val="22"/>
        </w:rPr>
        <w:t xml:space="preserve"> </w:t>
      </w:r>
    </w:p>
    <w:p w14:paraId="1B5147A4" w14:textId="77777777" w:rsidR="000A461C" w:rsidRPr="000972C7" w:rsidRDefault="000A461C" w:rsidP="00534491">
      <w:pPr>
        <w:pStyle w:val="BodyTextIndent"/>
        <w:spacing w:after="160"/>
        <w:ind w:left="0"/>
        <w:jc w:val="center"/>
        <w:rPr>
          <w:sz w:val="22"/>
          <w:szCs w:val="22"/>
          <w:u w:val="single"/>
        </w:rPr>
      </w:pPr>
    </w:p>
    <w:p w14:paraId="18361FC5" w14:textId="77777777" w:rsidR="00B01A57" w:rsidRPr="00CB355C" w:rsidRDefault="005F1292" w:rsidP="00534491">
      <w:pPr>
        <w:pStyle w:val="BodyTextIndent"/>
        <w:spacing w:after="160"/>
        <w:ind w:left="0"/>
        <w:jc w:val="center"/>
        <w:rPr>
          <w:b/>
          <w:sz w:val="28"/>
          <w:szCs w:val="28"/>
          <w:u w:val="single"/>
        </w:rPr>
      </w:pPr>
      <w:r w:rsidRPr="00CB355C">
        <w:rPr>
          <w:b/>
          <w:sz w:val="28"/>
          <w:szCs w:val="28"/>
          <w:u w:val="single"/>
        </w:rPr>
        <w:t xml:space="preserve">Capacity Verification </w:t>
      </w:r>
      <w:r w:rsidR="00B01A57" w:rsidRPr="00CB355C">
        <w:rPr>
          <w:b/>
          <w:sz w:val="28"/>
          <w:szCs w:val="28"/>
          <w:u w:val="single"/>
        </w:rPr>
        <w:t>Example 2</w:t>
      </w:r>
    </w:p>
    <w:p w14:paraId="6F6D7D17" w14:textId="77777777" w:rsidR="001145DB" w:rsidRDefault="001145DB" w:rsidP="00534491">
      <w:pPr>
        <w:pStyle w:val="BodyTextIndent"/>
        <w:spacing w:after="160"/>
        <w:ind w:left="0"/>
        <w:rPr>
          <w:b/>
          <w:sz w:val="22"/>
          <w:szCs w:val="22"/>
          <w:u w:val="single"/>
        </w:rPr>
      </w:pPr>
    </w:p>
    <w:p w14:paraId="5664C1DB" w14:textId="77777777" w:rsidR="00B01A57" w:rsidRPr="00534491" w:rsidRDefault="001145DB" w:rsidP="00534491">
      <w:pPr>
        <w:pStyle w:val="BodyTextIndent"/>
        <w:numPr>
          <w:ilvl w:val="0"/>
          <w:numId w:val="12"/>
        </w:numPr>
        <w:spacing w:after="160"/>
        <w:rPr>
          <w:sz w:val="22"/>
          <w:szCs w:val="22"/>
        </w:rPr>
      </w:pPr>
      <w:r w:rsidRPr="00534491">
        <w:rPr>
          <w:sz w:val="22"/>
          <w:szCs w:val="22"/>
        </w:rPr>
        <w:t xml:space="preserve">The ACME Disposal Company has proposed a new rubbish disposal site in Redstone County with a calculated </w:t>
      </w:r>
      <w:r w:rsidR="003E2AB8" w:rsidRPr="00534491">
        <w:rPr>
          <w:sz w:val="22"/>
          <w:szCs w:val="22"/>
        </w:rPr>
        <w:t xml:space="preserve">design </w:t>
      </w:r>
      <w:r w:rsidRPr="00534491">
        <w:rPr>
          <w:sz w:val="22"/>
          <w:szCs w:val="22"/>
        </w:rPr>
        <w:t xml:space="preserve">capacity of approximately 3.1 million cubic yards, servicing roughly a 5 county-area.  </w:t>
      </w:r>
    </w:p>
    <w:p w14:paraId="726DDAFA" w14:textId="77777777" w:rsidR="00B01A57" w:rsidRPr="00534491" w:rsidRDefault="001145DB" w:rsidP="00C50630">
      <w:pPr>
        <w:pStyle w:val="BodyTextIndent"/>
        <w:numPr>
          <w:ilvl w:val="0"/>
          <w:numId w:val="12"/>
        </w:numPr>
        <w:spacing w:after="160"/>
        <w:rPr>
          <w:sz w:val="22"/>
          <w:szCs w:val="22"/>
        </w:rPr>
      </w:pPr>
      <w:r w:rsidRPr="00534491">
        <w:rPr>
          <w:sz w:val="22"/>
          <w:szCs w:val="22"/>
        </w:rPr>
        <w:t>The Company estimates that the periodic soil and final cover systems will consume roughly 370,000 cubic yards of capacity leaving 2,730,000 cubic yards for disposal.</w:t>
      </w:r>
    </w:p>
    <w:p w14:paraId="7B76A2A7" w14:textId="77777777" w:rsidR="003C794E" w:rsidRPr="00534491" w:rsidRDefault="001145DB" w:rsidP="00946F3C">
      <w:pPr>
        <w:pStyle w:val="BodyTextIndent"/>
        <w:numPr>
          <w:ilvl w:val="0"/>
          <w:numId w:val="12"/>
        </w:numPr>
        <w:spacing w:after="160"/>
        <w:rPr>
          <w:sz w:val="22"/>
          <w:szCs w:val="22"/>
        </w:rPr>
      </w:pPr>
      <w:r w:rsidRPr="00534491">
        <w:rPr>
          <w:sz w:val="22"/>
          <w:szCs w:val="22"/>
        </w:rPr>
        <w:t xml:space="preserve">It is also anticipated that based on available compaction equipment and the type of rubbish wastes, the company expects an in-place waste density of approximately 1000 lbs/cubic yards. </w:t>
      </w:r>
    </w:p>
    <w:p w14:paraId="114AC7FF" w14:textId="77777777" w:rsidR="009D28E9" w:rsidRPr="00534491" w:rsidRDefault="001145DB" w:rsidP="00E50918">
      <w:pPr>
        <w:pStyle w:val="BodyTextIndent"/>
        <w:numPr>
          <w:ilvl w:val="0"/>
          <w:numId w:val="12"/>
        </w:numPr>
        <w:spacing w:after="160"/>
        <w:rPr>
          <w:sz w:val="22"/>
          <w:szCs w:val="22"/>
        </w:rPr>
      </w:pPr>
      <w:r w:rsidRPr="00534491">
        <w:rPr>
          <w:sz w:val="22"/>
          <w:szCs w:val="22"/>
        </w:rPr>
        <w:t xml:space="preserve">Based on reporting data, the company documents that there is approximately 185,000 tons of rubbish disposed in the area (within </w:t>
      </w:r>
      <w:r w:rsidR="00783BF6" w:rsidRPr="00534491">
        <w:rPr>
          <w:sz w:val="22"/>
          <w:szCs w:val="22"/>
        </w:rPr>
        <w:t xml:space="preserve">a </w:t>
      </w:r>
      <w:r w:rsidRPr="00534491">
        <w:rPr>
          <w:sz w:val="22"/>
          <w:szCs w:val="22"/>
        </w:rPr>
        <w:t xml:space="preserve">25-mile radius) annually. </w:t>
      </w:r>
      <w:r w:rsidR="003C794E" w:rsidRPr="00534491">
        <w:rPr>
          <w:sz w:val="22"/>
          <w:szCs w:val="22"/>
        </w:rPr>
        <w:t xml:space="preserve">Currently there are 2 other existing rubbish sites servicing the area with available capacity.  </w:t>
      </w:r>
    </w:p>
    <w:p w14:paraId="7CE747B1" w14:textId="77777777" w:rsidR="000972C7" w:rsidRPr="00534491" w:rsidRDefault="001145DB" w:rsidP="00201279">
      <w:pPr>
        <w:pStyle w:val="BodyTextIndent"/>
        <w:numPr>
          <w:ilvl w:val="0"/>
          <w:numId w:val="12"/>
        </w:numPr>
        <w:spacing w:after="160"/>
        <w:rPr>
          <w:sz w:val="22"/>
          <w:szCs w:val="22"/>
        </w:rPr>
      </w:pPr>
      <w:r w:rsidRPr="00534491">
        <w:rPr>
          <w:sz w:val="22"/>
          <w:szCs w:val="22"/>
        </w:rPr>
        <w:t xml:space="preserve">The company projects that based on its current roll-off business and on the volumes that the 2 existing sites are managing that the company can reasonably collect and dispose of roughly 57,000 tons of rubbish annually.  </w:t>
      </w:r>
    </w:p>
    <w:p w14:paraId="4FB64B22" w14:textId="77777777" w:rsidR="00B01A57" w:rsidRPr="00534491" w:rsidRDefault="00783BF6" w:rsidP="002C0DB4">
      <w:pPr>
        <w:pStyle w:val="BodyTextIndent"/>
        <w:numPr>
          <w:ilvl w:val="0"/>
          <w:numId w:val="12"/>
        </w:numPr>
        <w:spacing w:after="160"/>
        <w:rPr>
          <w:sz w:val="22"/>
          <w:szCs w:val="22"/>
        </w:rPr>
      </w:pPr>
      <w:r w:rsidRPr="00534491">
        <w:rPr>
          <w:sz w:val="22"/>
          <w:szCs w:val="22"/>
        </w:rPr>
        <w:t>Based on these factors, the landfill is p</w:t>
      </w:r>
      <w:r w:rsidR="001145DB" w:rsidRPr="00534491">
        <w:rPr>
          <w:sz w:val="22"/>
          <w:szCs w:val="22"/>
        </w:rPr>
        <w:t xml:space="preserve">rojected to use an average of 114,000 cubic yards </w:t>
      </w:r>
      <w:r w:rsidRPr="00534491">
        <w:rPr>
          <w:sz w:val="22"/>
          <w:szCs w:val="22"/>
        </w:rPr>
        <w:t xml:space="preserve">of air space annually. </w:t>
      </w:r>
    </w:p>
    <w:p w14:paraId="1F6D3EAE" w14:textId="77777777" w:rsidR="001145DB" w:rsidRPr="00702649" w:rsidRDefault="001145DB" w:rsidP="00633790">
      <w:pPr>
        <w:pStyle w:val="BodyTextIndent"/>
        <w:numPr>
          <w:ilvl w:val="0"/>
          <w:numId w:val="12"/>
        </w:numPr>
        <w:spacing w:after="160"/>
        <w:rPr>
          <w:b/>
          <w:sz w:val="22"/>
          <w:szCs w:val="22"/>
          <w:u w:val="single"/>
        </w:rPr>
      </w:pPr>
      <w:r w:rsidRPr="00534491">
        <w:rPr>
          <w:sz w:val="22"/>
          <w:szCs w:val="22"/>
        </w:rPr>
        <w:t xml:space="preserve">Life expectancy of the new proposed rubbish site is 27 years.  </w:t>
      </w:r>
      <w:r w:rsidR="00702649" w:rsidRPr="00534491">
        <w:rPr>
          <w:sz w:val="22"/>
          <w:szCs w:val="22"/>
        </w:rPr>
        <w:t xml:space="preserve">This falls within the 30 year accepted life for class I rubbish sites and would likely only need some narrative statement of support.  </w:t>
      </w:r>
    </w:p>
    <w:sectPr w:rsidR="001145DB" w:rsidRPr="00702649" w:rsidSect="00702649">
      <w:footerReference w:type="default" r:id="rId12"/>
      <w:pgSz w:w="12240" w:h="15840" w:code="1"/>
      <w:pgMar w:top="1152" w:right="1440" w:bottom="1152" w:left="1440" w:header="720" w:footer="432" w:gutter="0"/>
      <w:pgBorders w:offsetFrom="page">
        <w:top w:val="single" w:sz="36" w:space="10" w:color="auto"/>
        <w:left w:val="single" w:sz="36" w:space="10" w:color="auto"/>
        <w:bottom w:val="single" w:sz="36" w:space="10" w:color="auto"/>
        <w:right w:val="single" w:sz="36" w:space="10"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4AFCC" w14:textId="77777777" w:rsidR="00F27A14" w:rsidRDefault="00F27A14">
      <w:r>
        <w:separator/>
      </w:r>
    </w:p>
  </w:endnote>
  <w:endnote w:type="continuationSeparator" w:id="0">
    <w:p w14:paraId="014F735B" w14:textId="77777777" w:rsidR="00F27A14" w:rsidRDefault="00F2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2D1A" w14:textId="727BF76E" w:rsidR="000C7053" w:rsidRDefault="000C7053" w:rsidP="00BE26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F5F">
      <w:rPr>
        <w:rStyle w:val="PageNumber"/>
        <w:noProof/>
      </w:rPr>
      <w:t>1</w:t>
    </w:r>
    <w:r>
      <w:rPr>
        <w:rStyle w:val="PageNumber"/>
      </w:rPr>
      <w:fldChar w:fldCharType="end"/>
    </w:r>
  </w:p>
  <w:p w14:paraId="41642DDD" w14:textId="77777777" w:rsidR="000C7053" w:rsidRPr="002751FD" w:rsidRDefault="000C7053" w:rsidP="00BE2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9D1F" w14:textId="77777777" w:rsidR="00F27A14" w:rsidRDefault="00F27A14">
      <w:r>
        <w:separator/>
      </w:r>
    </w:p>
  </w:footnote>
  <w:footnote w:type="continuationSeparator" w:id="0">
    <w:p w14:paraId="1A83A1B5" w14:textId="77777777" w:rsidR="00F27A14" w:rsidRDefault="00F2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AC3"/>
    <w:multiLevelType w:val="hybridMultilevel"/>
    <w:tmpl w:val="0A2466DA"/>
    <w:lvl w:ilvl="0" w:tplc="E81E7A1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C86B4E"/>
    <w:multiLevelType w:val="hybridMultilevel"/>
    <w:tmpl w:val="F836EBF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D6091E"/>
    <w:multiLevelType w:val="hybridMultilevel"/>
    <w:tmpl w:val="DE0057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FA3C9F"/>
    <w:multiLevelType w:val="hybridMultilevel"/>
    <w:tmpl w:val="E456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B1B3E"/>
    <w:multiLevelType w:val="hybridMultilevel"/>
    <w:tmpl w:val="A1B8A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72D8F"/>
    <w:multiLevelType w:val="hybridMultilevel"/>
    <w:tmpl w:val="2168E88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630CB0"/>
    <w:multiLevelType w:val="hybridMultilevel"/>
    <w:tmpl w:val="8E62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C081F"/>
    <w:multiLevelType w:val="hybridMultilevel"/>
    <w:tmpl w:val="7768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E6629"/>
    <w:multiLevelType w:val="hybridMultilevel"/>
    <w:tmpl w:val="E86C32CE"/>
    <w:lvl w:ilvl="0" w:tplc="8C701B44">
      <w:start w:val="1"/>
      <w:numFmt w:val="bullet"/>
      <w:lvlText w:val="•"/>
      <w:lvlJc w:val="left"/>
      <w:pPr>
        <w:tabs>
          <w:tab w:val="num" w:pos="720"/>
        </w:tabs>
        <w:ind w:left="720" w:hanging="360"/>
      </w:pPr>
      <w:rPr>
        <w:rFonts w:ascii="Arial" w:hAnsi="Arial" w:hint="default"/>
      </w:rPr>
    </w:lvl>
    <w:lvl w:ilvl="1" w:tplc="4BF6A6DA" w:tentative="1">
      <w:start w:val="1"/>
      <w:numFmt w:val="bullet"/>
      <w:lvlText w:val="•"/>
      <w:lvlJc w:val="left"/>
      <w:pPr>
        <w:tabs>
          <w:tab w:val="num" w:pos="1440"/>
        </w:tabs>
        <w:ind w:left="1440" w:hanging="360"/>
      </w:pPr>
      <w:rPr>
        <w:rFonts w:ascii="Arial" w:hAnsi="Arial" w:hint="default"/>
      </w:rPr>
    </w:lvl>
    <w:lvl w:ilvl="2" w:tplc="A5949632" w:tentative="1">
      <w:start w:val="1"/>
      <w:numFmt w:val="bullet"/>
      <w:lvlText w:val="•"/>
      <w:lvlJc w:val="left"/>
      <w:pPr>
        <w:tabs>
          <w:tab w:val="num" w:pos="2160"/>
        </w:tabs>
        <w:ind w:left="2160" w:hanging="360"/>
      </w:pPr>
      <w:rPr>
        <w:rFonts w:ascii="Arial" w:hAnsi="Arial" w:hint="default"/>
      </w:rPr>
    </w:lvl>
    <w:lvl w:ilvl="3" w:tplc="84AAF91C" w:tentative="1">
      <w:start w:val="1"/>
      <w:numFmt w:val="bullet"/>
      <w:lvlText w:val="•"/>
      <w:lvlJc w:val="left"/>
      <w:pPr>
        <w:tabs>
          <w:tab w:val="num" w:pos="2880"/>
        </w:tabs>
        <w:ind w:left="2880" w:hanging="360"/>
      </w:pPr>
      <w:rPr>
        <w:rFonts w:ascii="Arial" w:hAnsi="Arial" w:hint="default"/>
      </w:rPr>
    </w:lvl>
    <w:lvl w:ilvl="4" w:tplc="6CEADED4" w:tentative="1">
      <w:start w:val="1"/>
      <w:numFmt w:val="bullet"/>
      <w:lvlText w:val="•"/>
      <w:lvlJc w:val="left"/>
      <w:pPr>
        <w:tabs>
          <w:tab w:val="num" w:pos="3600"/>
        </w:tabs>
        <w:ind w:left="3600" w:hanging="360"/>
      </w:pPr>
      <w:rPr>
        <w:rFonts w:ascii="Arial" w:hAnsi="Arial" w:hint="default"/>
      </w:rPr>
    </w:lvl>
    <w:lvl w:ilvl="5" w:tplc="0C848152" w:tentative="1">
      <w:start w:val="1"/>
      <w:numFmt w:val="bullet"/>
      <w:lvlText w:val="•"/>
      <w:lvlJc w:val="left"/>
      <w:pPr>
        <w:tabs>
          <w:tab w:val="num" w:pos="4320"/>
        </w:tabs>
        <w:ind w:left="4320" w:hanging="360"/>
      </w:pPr>
      <w:rPr>
        <w:rFonts w:ascii="Arial" w:hAnsi="Arial" w:hint="default"/>
      </w:rPr>
    </w:lvl>
    <w:lvl w:ilvl="6" w:tplc="8ABA6F9E" w:tentative="1">
      <w:start w:val="1"/>
      <w:numFmt w:val="bullet"/>
      <w:lvlText w:val="•"/>
      <w:lvlJc w:val="left"/>
      <w:pPr>
        <w:tabs>
          <w:tab w:val="num" w:pos="5040"/>
        </w:tabs>
        <w:ind w:left="5040" w:hanging="360"/>
      </w:pPr>
      <w:rPr>
        <w:rFonts w:ascii="Arial" w:hAnsi="Arial" w:hint="default"/>
      </w:rPr>
    </w:lvl>
    <w:lvl w:ilvl="7" w:tplc="61D46136" w:tentative="1">
      <w:start w:val="1"/>
      <w:numFmt w:val="bullet"/>
      <w:lvlText w:val="•"/>
      <w:lvlJc w:val="left"/>
      <w:pPr>
        <w:tabs>
          <w:tab w:val="num" w:pos="5760"/>
        </w:tabs>
        <w:ind w:left="5760" w:hanging="360"/>
      </w:pPr>
      <w:rPr>
        <w:rFonts w:ascii="Arial" w:hAnsi="Arial" w:hint="default"/>
      </w:rPr>
    </w:lvl>
    <w:lvl w:ilvl="8" w:tplc="BFE8B7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CC150A"/>
    <w:multiLevelType w:val="hybridMultilevel"/>
    <w:tmpl w:val="C5B080FA"/>
    <w:lvl w:ilvl="0" w:tplc="6F046CCE">
      <w:start w:val="1"/>
      <w:numFmt w:val="bullet"/>
      <w:lvlText w:val="•"/>
      <w:lvlJc w:val="left"/>
      <w:pPr>
        <w:tabs>
          <w:tab w:val="num" w:pos="720"/>
        </w:tabs>
        <w:ind w:left="720" w:hanging="360"/>
      </w:pPr>
      <w:rPr>
        <w:rFonts w:ascii="Arial" w:hAnsi="Arial" w:hint="default"/>
      </w:rPr>
    </w:lvl>
    <w:lvl w:ilvl="1" w:tplc="A8F083D2" w:tentative="1">
      <w:start w:val="1"/>
      <w:numFmt w:val="bullet"/>
      <w:lvlText w:val="•"/>
      <w:lvlJc w:val="left"/>
      <w:pPr>
        <w:tabs>
          <w:tab w:val="num" w:pos="1440"/>
        </w:tabs>
        <w:ind w:left="1440" w:hanging="360"/>
      </w:pPr>
      <w:rPr>
        <w:rFonts w:ascii="Arial" w:hAnsi="Arial" w:hint="default"/>
      </w:rPr>
    </w:lvl>
    <w:lvl w:ilvl="2" w:tplc="9A8A225E" w:tentative="1">
      <w:start w:val="1"/>
      <w:numFmt w:val="bullet"/>
      <w:lvlText w:val="•"/>
      <w:lvlJc w:val="left"/>
      <w:pPr>
        <w:tabs>
          <w:tab w:val="num" w:pos="2160"/>
        </w:tabs>
        <w:ind w:left="2160" w:hanging="360"/>
      </w:pPr>
      <w:rPr>
        <w:rFonts w:ascii="Arial" w:hAnsi="Arial" w:hint="default"/>
      </w:rPr>
    </w:lvl>
    <w:lvl w:ilvl="3" w:tplc="EB768F44" w:tentative="1">
      <w:start w:val="1"/>
      <w:numFmt w:val="bullet"/>
      <w:lvlText w:val="•"/>
      <w:lvlJc w:val="left"/>
      <w:pPr>
        <w:tabs>
          <w:tab w:val="num" w:pos="2880"/>
        </w:tabs>
        <w:ind w:left="2880" w:hanging="360"/>
      </w:pPr>
      <w:rPr>
        <w:rFonts w:ascii="Arial" w:hAnsi="Arial" w:hint="default"/>
      </w:rPr>
    </w:lvl>
    <w:lvl w:ilvl="4" w:tplc="8F9E10C8" w:tentative="1">
      <w:start w:val="1"/>
      <w:numFmt w:val="bullet"/>
      <w:lvlText w:val="•"/>
      <w:lvlJc w:val="left"/>
      <w:pPr>
        <w:tabs>
          <w:tab w:val="num" w:pos="3600"/>
        </w:tabs>
        <w:ind w:left="3600" w:hanging="360"/>
      </w:pPr>
      <w:rPr>
        <w:rFonts w:ascii="Arial" w:hAnsi="Arial" w:hint="default"/>
      </w:rPr>
    </w:lvl>
    <w:lvl w:ilvl="5" w:tplc="3052FF10" w:tentative="1">
      <w:start w:val="1"/>
      <w:numFmt w:val="bullet"/>
      <w:lvlText w:val="•"/>
      <w:lvlJc w:val="left"/>
      <w:pPr>
        <w:tabs>
          <w:tab w:val="num" w:pos="4320"/>
        </w:tabs>
        <w:ind w:left="4320" w:hanging="360"/>
      </w:pPr>
      <w:rPr>
        <w:rFonts w:ascii="Arial" w:hAnsi="Arial" w:hint="default"/>
      </w:rPr>
    </w:lvl>
    <w:lvl w:ilvl="6" w:tplc="A3322C66" w:tentative="1">
      <w:start w:val="1"/>
      <w:numFmt w:val="bullet"/>
      <w:lvlText w:val="•"/>
      <w:lvlJc w:val="left"/>
      <w:pPr>
        <w:tabs>
          <w:tab w:val="num" w:pos="5040"/>
        </w:tabs>
        <w:ind w:left="5040" w:hanging="360"/>
      </w:pPr>
      <w:rPr>
        <w:rFonts w:ascii="Arial" w:hAnsi="Arial" w:hint="default"/>
      </w:rPr>
    </w:lvl>
    <w:lvl w:ilvl="7" w:tplc="B6603626" w:tentative="1">
      <w:start w:val="1"/>
      <w:numFmt w:val="bullet"/>
      <w:lvlText w:val="•"/>
      <w:lvlJc w:val="left"/>
      <w:pPr>
        <w:tabs>
          <w:tab w:val="num" w:pos="5760"/>
        </w:tabs>
        <w:ind w:left="5760" w:hanging="360"/>
      </w:pPr>
      <w:rPr>
        <w:rFonts w:ascii="Arial" w:hAnsi="Arial" w:hint="default"/>
      </w:rPr>
    </w:lvl>
    <w:lvl w:ilvl="8" w:tplc="9F6A2B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22485F"/>
    <w:multiLevelType w:val="hybridMultilevel"/>
    <w:tmpl w:val="25F8122E"/>
    <w:lvl w:ilvl="0" w:tplc="E81E7A1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7C19EC"/>
    <w:multiLevelType w:val="hybridMultilevel"/>
    <w:tmpl w:val="54D8534C"/>
    <w:lvl w:ilvl="0" w:tplc="22244112">
      <w:start w:val="1"/>
      <w:numFmt w:val="bullet"/>
      <w:lvlText w:val="•"/>
      <w:lvlJc w:val="left"/>
      <w:pPr>
        <w:tabs>
          <w:tab w:val="num" w:pos="720"/>
        </w:tabs>
        <w:ind w:left="720" w:hanging="360"/>
      </w:pPr>
      <w:rPr>
        <w:rFonts w:ascii="Arial" w:hAnsi="Arial" w:hint="default"/>
      </w:rPr>
    </w:lvl>
    <w:lvl w:ilvl="1" w:tplc="D3BC6294" w:tentative="1">
      <w:start w:val="1"/>
      <w:numFmt w:val="bullet"/>
      <w:lvlText w:val="•"/>
      <w:lvlJc w:val="left"/>
      <w:pPr>
        <w:tabs>
          <w:tab w:val="num" w:pos="1440"/>
        </w:tabs>
        <w:ind w:left="1440" w:hanging="360"/>
      </w:pPr>
      <w:rPr>
        <w:rFonts w:ascii="Arial" w:hAnsi="Arial" w:hint="default"/>
      </w:rPr>
    </w:lvl>
    <w:lvl w:ilvl="2" w:tplc="622C8E0C" w:tentative="1">
      <w:start w:val="1"/>
      <w:numFmt w:val="bullet"/>
      <w:lvlText w:val="•"/>
      <w:lvlJc w:val="left"/>
      <w:pPr>
        <w:tabs>
          <w:tab w:val="num" w:pos="2160"/>
        </w:tabs>
        <w:ind w:left="2160" w:hanging="360"/>
      </w:pPr>
      <w:rPr>
        <w:rFonts w:ascii="Arial" w:hAnsi="Arial" w:hint="default"/>
      </w:rPr>
    </w:lvl>
    <w:lvl w:ilvl="3" w:tplc="F4E6A1FC" w:tentative="1">
      <w:start w:val="1"/>
      <w:numFmt w:val="bullet"/>
      <w:lvlText w:val="•"/>
      <w:lvlJc w:val="left"/>
      <w:pPr>
        <w:tabs>
          <w:tab w:val="num" w:pos="2880"/>
        </w:tabs>
        <w:ind w:left="2880" w:hanging="360"/>
      </w:pPr>
      <w:rPr>
        <w:rFonts w:ascii="Arial" w:hAnsi="Arial" w:hint="default"/>
      </w:rPr>
    </w:lvl>
    <w:lvl w:ilvl="4" w:tplc="C9704C06" w:tentative="1">
      <w:start w:val="1"/>
      <w:numFmt w:val="bullet"/>
      <w:lvlText w:val="•"/>
      <w:lvlJc w:val="left"/>
      <w:pPr>
        <w:tabs>
          <w:tab w:val="num" w:pos="3600"/>
        </w:tabs>
        <w:ind w:left="3600" w:hanging="360"/>
      </w:pPr>
      <w:rPr>
        <w:rFonts w:ascii="Arial" w:hAnsi="Arial" w:hint="default"/>
      </w:rPr>
    </w:lvl>
    <w:lvl w:ilvl="5" w:tplc="E77E7F62" w:tentative="1">
      <w:start w:val="1"/>
      <w:numFmt w:val="bullet"/>
      <w:lvlText w:val="•"/>
      <w:lvlJc w:val="left"/>
      <w:pPr>
        <w:tabs>
          <w:tab w:val="num" w:pos="4320"/>
        </w:tabs>
        <w:ind w:left="4320" w:hanging="360"/>
      </w:pPr>
      <w:rPr>
        <w:rFonts w:ascii="Arial" w:hAnsi="Arial" w:hint="default"/>
      </w:rPr>
    </w:lvl>
    <w:lvl w:ilvl="6" w:tplc="71F8DB14" w:tentative="1">
      <w:start w:val="1"/>
      <w:numFmt w:val="bullet"/>
      <w:lvlText w:val="•"/>
      <w:lvlJc w:val="left"/>
      <w:pPr>
        <w:tabs>
          <w:tab w:val="num" w:pos="5040"/>
        </w:tabs>
        <w:ind w:left="5040" w:hanging="360"/>
      </w:pPr>
      <w:rPr>
        <w:rFonts w:ascii="Arial" w:hAnsi="Arial" w:hint="default"/>
      </w:rPr>
    </w:lvl>
    <w:lvl w:ilvl="7" w:tplc="3D94D0E8" w:tentative="1">
      <w:start w:val="1"/>
      <w:numFmt w:val="bullet"/>
      <w:lvlText w:val="•"/>
      <w:lvlJc w:val="left"/>
      <w:pPr>
        <w:tabs>
          <w:tab w:val="num" w:pos="5760"/>
        </w:tabs>
        <w:ind w:left="5760" w:hanging="360"/>
      </w:pPr>
      <w:rPr>
        <w:rFonts w:ascii="Arial" w:hAnsi="Arial" w:hint="default"/>
      </w:rPr>
    </w:lvl>
    <w:lvl w:ilvl="8" w:tplc="FE9E7A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BA7856"/>
    <w:multiLevelType w:val="hybridMultilevel"/>
    <w:tmpl w:val="7980B40E"/>
    <w:lvl w:ilvl="0" w:tplc="E81E7A1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A714C8"/>
    <w:multiLevelType w:val="hybridMultilevel"/>
    <w:tmpl w:val="5DAAC0F8"/>
    <w:lvl w:ilvl="0" w:tplc="E81E7A1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D8719D"/>
    <w:multiLevelType w:val="hybridMultilevel"/>
    <w:tmpl w:val="EC66A3A6"/>
    <w:lvl w:ilvl="0" w:tplc="E26AA424">
      <w:start w:val="1"/>
      <w:numFmt w:val="lowerLetter"/>
      <w:lvlText w:val="%1)"/>
      <w:lvlJc w:val="left"/>
      <w:pPr>
        <w:tabs>
          <w:tab w:val="num" w:pos="3800"/>
        </w:tabs>
        <w:ind w:left="3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2664775">
    <w:abstractNumId w:val="5"/>
  </w:num>
  <w:num w:numId="2" w16cid:durableId="1516848306">
    <w:abstractNumId w:val="10"/>
  </w:num>
  <w:num w:numId="3" w16cid:durableId="1258364201">
    <w:abstractNumId w:val="14"/>
  </w:num>
  <w:num w:numId="4" w16cid:durableId="1913851459">
    <w:abstractNumId w:val="12"/>
  </w:num>
  <w:num w:numId="5" w16cid:durableId="1013998138">
    <w:abstractNumId w:val="0"/>
  </w:num>
  <w:num w:numId="6" w16cid:durableId="2114400428">
    <w:abstractNumId w:val="13"/>
  </w:num>
  <w:num w:numId="7" w16cid:durableId="487601921">
    <w:abstractNumId w:val="7"/>
  </w:num>
  <w:num w:numId="8" w16cid:durableId="2001426471">
    <w:abstractNumId w:val="3"/>
  </w:num>
  <w:num w:numId="9" w16cid:durableId="1429159701">
    <w:abstractNumId w:val="2"/>
  </w:num>
  <w:num w:numId="10" w16cid:durableId="594293080">
    <w:abstractNumId w:val="4"/>
  </w:num>
  <w:num w:numId="11" w16cid:durableId="1297831394">
    <w:abstractNumId w:val="8"/>
  </w:num>
  <w:num w:numId="12" w16cid:durableId="1774937648">
    <w:abstractNumId w:val="9"/>
  </w:num>
  <w:num w:numId="13" w16cid:durableId="1206025379">
    <w:abstractNumId w:val="11"/>
  </w:num>
  <w:num w:numId="14" w16cid:durableId="243339349">
    <w:abstractNumId w:val="6"/>
  </w:num>
  <w:num w:numId="15" w16cid:durableId="196176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D0"/>
    <w:rsid w:val="00015021"/>
    <w:rsid w:val="00027B43"/>
    <w:rsid w:val="000309B4"/>
    <w:rsid w:val="000366BD"/>
    <w:rsid w:val="0005356B"/>
    <w:rsid w:val="00060732"/>
    <w:rsid w:val="00073CE8"/>
    <w:rsid w:val="00084C42"/>
    <w:rsid w:val="000972C7"/>
    <w:rsid w:val="000A461C"/>
    <w:rsid w:val="000B1227"/>
    <w:rsid w:val="000B34AC"/>
    <w:rsid w:val="000C7053"/>
    <w:rsid w:val="000D17CE"/>
    <w:rsid w:val="000D27C5"/>
    <w:rsid w:val="000F27AC"/>
    <w:rsid w:val="000F3C9E"/>
    <w:rsid w:val="0010249E"/>
    <w:rsid w:val="001145DB"/>
    <w:rsid w:val="00154320"/>
    <w:rsid w:val="00163210"/>
    <w:rsid w:val="00184A6A"/>
    <w:rsid w:val="001B505C"/>
    <w:rsid w:val="001B50E8"/>
    <w:rsid w:val="001E26BE"/>
    <w:rsid w:val="00215BFB"/>
    <w:rsid w:val="00262896"/>
    <w:rsid w:val="00292045"/>
    <w:rsid w:val="00296A33"/>
    <w:rsid w:val="00303A25"/>
    <w:rsid w:val="0032618E"/>
    <w:rsid w:val="0033369D"/>
    <w:rsid w:val="00337DCA"/>
    <w:rsid w:val="003421F8"/>
    <w:rsid w:val="00396258"/>
    <w:rsid w:val="003C794E"/>
    <w:rsid w:val="003E2AB8"/>
    <w:rsid w:val="004072D5"/>
    <w:rsid w:val="00407B7A"/>
    <w:rsid w:val="00447DE0"/>
    <w:rsid w:val="00471F64"/>
    <w:rsid w:val="004724EF"/>
    <w:rsid w:val="00490A9C"/>
    <w:rsid w:val="004B3960"/>
    <w:rsid w:val="004B4D69"/>
    <w:rsid w:val="004F113B"/>
    <w:rsid w:val="00534491"/>
    <w:rsid w:val="00571CB6"/>
    <w:rsid w:val="005D00F5"/>
    <w:rsid w:val="005F1292"/>
    <w:rsid w:val="005F3F5F"/>
    <w:rsid w:val="006337CB"/>
    <w:rsid w:val="006364D7"/>
    <w:rsid w:val="00644647"/>
    <w:rsid w:val="00681EB3"/>
    <w:rsid w:val="0068703D"/>
    <w:rsid w:val="006E4F03"/>
    <w:rsid w:val="006F170A"/>
    <w:rsid w:val="00702649"/>
    <w:rsid w:val="007179FA"/>
    <w:rsid w:val="00732738"/>
    <w:rsid w:val="00737CF0"/>
    <w:rsid w:val="00740746"/>
    <w:rsid w:val="007544B6"/>
    <w:rsid w:val="00764377"/>
    <w:rsid w:val="00783BF6"/>
    <w:rsid w:val="00784727"/>
    <w:rsid w:val="007A364E"/>
    <w:rsid w:val="007C289E"/>
    <w:rsid w:val="007E62A0"/>
    <w:rsid w:val="00866609"/>
    <w:rsid w:val="00866AE5"/>
    <w:rsid w:val="00887FD0"/>
    <w:rsid w:val="008A08DE"/>
    <w:rsid w:val="008A3CB7"/>
    <w:rsid w:val="008C1387"/>
    <w:rsid w:val="008D1EF4"/>
    <w:rsid w:val="008D3791"/>
    <w:rsid w:val="008E4241"/>
    <w:rsid w:val="0092654F"/>
    <w:rsid w:val="009477B4"/>
    <w:rsid w:val="009A7740"/>
    <w:rsid w:val="009D28E9"/>
    <w:rsid w:val="009D5586"/>
    <w:rsid w:val="00A5167B"/>
    <w:rsid w:val="00A538E7"/>
    <w:rsid w:val="00A7185A"/>
    <w:rsid w:val="00A71F4E"/>
    <w:rsid w:val="00A9113D"/>
    <w:rsid w:val="00AA0B2E"/>
    <w:rsid w:val="00AD4728"/>
    <w:rsid w:val="00AE0405"/>
    <w:rsid w:val="00AE7384"/>
    <w:rsid w:val="00AE761E"/>
    <w:rsid w:val="00B01A57"/>
    <w:rsid w:val="00B2341A"/>
    <w:rsid w:val="00B5068D"/>
    <w:rsid w:val="00B828CF"/>
    <w:rsid w:val="00B90577"/>
    <w:rsid w:val="00B93489"/>
    <w:rsid w:val="00B97C55"/>
    <w:rsid w:val="00BB2FC2"/>
    <w:rsid w:val="00BE26C0"/>
    <w:rsid w:val="00BF2519"/>
    <w:rsid w:val="00C00A9E"/>
    <w:rsid w:val="00C41F88"/>
    <w:rsid w:val="00C42B54"/>
    <w:rsid w:val="00C87938"/>
    <w:rsid w:val="00CB355C"/>
    <w:rsid w:val="00CF13D8"/>
    <w:rsid w:val="00CF32A7"/>
    <w:rsid w:val="00D20331"/>
    <w:rsid w:val="00D643B5"/>
    <w:rsid w:val="00D76E00"/>
    <w:rsid w:val="00DB46E4"/>
    <w:rsid w:val="00DC7AED"/>
    <w:rsid w:val="00E01385"/>
    <w:rsid w:val="00E06416"/>
    <w:rsid w:val="00E27319"/>
    <w:rsid w:val="00E431D0"/>
    <w:rsid w:val="00E718D5"/>
    <w:rsid w:val="00E849C0"/>
    <w:rsid w:val="00EB3672"/>
    <w:rsid w:val="00EC6757"/>
    <w:rsid w:val="00F27A14"/>
    <w:rsid w:val="00F62393"/>
    <w:rsid w:val="00FC6FCF"/>
    <w:rsid w:val="00FD4993"/>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AB7850"/>
  <w15:docId w15:val="{43B601A3-146A-4B20-A88B-E1A0A01A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61C"/>
    <w:pPr>
      <w:ind w:left="360"/>
      <w:jc w:val="both"/>
    </w:pPr>
    <w:rPr>
      <w:sz w:val="24"/>
    </w:rPr>
  </w:style>
  <w:style w:type="paragraph" w:styleId="Footer">
    <w:name w:val="footer"/>
    <w:basedOn w:val="Normal"/>
    <w:rsid w:val="000A461C"/>
    <w:pPr>
      <w:tabs>
        <w:tab w:val="center" w:pos="4320"/>
        <w:tab w:val="right" w:pos="8640"/>
      </w:tabs>
    </w:pPr>
  </w:style>
  <w:style w:type="character" w:styleId="PageNumber">
    <w:name w:val="page number"/>
    <w:basedOn w:val="DefaultParagraphFont"/>
    <w:rsid w:val="000A461C"/>
  </w:style>
  <w:style w:type="character" w:styleId="Hyperlink">
    <w:name w:val="Hyperlink"/>
    <w:rsid w:val="000A461C"/>
    <w:rPr>
      <w:color w:val="0000FF"/>
      <w:u w:val="single"/>
    </w:rPr>
  </w:style>
  <w:style w:type="paragraph" w:styleId="Header">
    <w:name w:val="header"/>
    <w:basedOn w:val="Normal"/>
    <w:rsid w:val="00BE26C0"/>
    <w:pPr>
      <w:tabs>
        <w:tab w:val="center" w:pos="4320"/>
        <w:tab w:val="right" w:pos="8640"/>
      </w:tabs>
    </w:pPr>
  </w:style>
  <w:style w:type="paragraph" w:styleId="ListParagraph">
    <w:name w:val="List Paragraph"/>
    <w:basedOn w:val="Normal"/>
    <w:uiPriority w:val="34"/>
    <w:qFormat/>
    <w:rsid w:val="001145DB"/>
    <w:pPr>
      <w:ind w:left="720"/>
    </w:pPr>
  </w:style>
  <w:style w:type="character" w:styleId="CommentReference">
    <w:name w:val="annotation reference"/>
    <w:uiPriority w:val="99"/>
    <w:semiHidden/>
    <w:unhideWhenUsed/>
    <w:rsid w:val="00396258"/>
    <w:rPr>
      <w:sz w:val="16"/>
      <w:szCs w:val="16"/>
    </w:rPr>
  </w:style>
  <w:style w:type="paragraph" w:styleId="CommentText">
    <w:name w:val="annotation text"/>
    <w:basedOn w:val="Normal"/>
    <w:link w:val="CommentTextChar"/>
    <w:uiPriority w:val="99"/>
    <w:semiHidden/>
    <w:unhideWhenUsed/>
    <w:rsid w:val="00396258"/>
  </w:style>
  <w:style w:type="character" w:customStyle="1" w:styleId="CommentTextChar">
    <w:name w:val="Comment Text Char"/>
    <w:basedOn w:val="DefaultParagraphFont"/>
    <w:link w:val="CommentText"/>
    <w:uiPriority w:val="99"/>
    <w:semiHidden/>
    <w:rsid w:val="00396258"/>
  </w:style>
  <w:style w:type="paragraph" w:styleId="CommentSubject">
    <w:name w:val="annotation subject"/>
    <w:basedOn w:val="CommentText"/>
    <w:next w:val="CommentText"/>
    <w:link w:val="CommentSubjectChar"/>
    <w:uiPriority w:val="99"/>
    <w:semiHidden/>
    <w:unhideWhenUsed/>
    <w:rsid w:val="00396258"/>
    <w:rPr>
      <w:b/>
      <w:bCs/>
    </w:rPr>
  </w:style>
  <w:style w:type="character" w:customStyle="1" w:styleId="CommentSubjectChar">
    <w:name w:val="Comment Subject Char"/>
    <w:link w:val="CommentSubject"/>
    <w:uiPriority w:val="99"/>
    <w:semiHidden/>
    <w:rsid w:val="00396258"/>
    <w:rPr>
      <w:b/>
      <w:bCs/>
    </w:rPr>
  </w:style>
  <w:style w:type="paragraph" w:styleId="BalloonText">
    <w:name w:val="Balloon Text"/>
    <w:basedOn w:val="Normal"/>
    <w:link w:val="BalloonTextChar"/>
    <w:uiPriority w:val="99"/>
    <w:semiHidden/>
    <w:unhideWhenUsed/>
    <w:rsid w:val="00396258"/>
    <w:rPr>
      <w:rFonts w:ascii="Tahoma" w:hAnsi="Tahoma" w:cs="Tahoma"/>
      <w:sz w:val="16"/>
      <w:szCs w:val="16"/>
    </w:rPr>
  </w:style>
  <w:style w:type="character" w:customStyle="1" w:styleId="BalloonTextChar">
    <w:name w:val="Balloon Text Char"/>
    <w:link w:val="BalloonText"/>
    <w:uiPriority w:val="99"/>
    <w:semiHidden/>
    <w:rsid w:val="00396258"/>
    <w:rPr>
      <w:rFonts w:ascii="Tahoma" w:hAnsi="Tahoma" w:cs="Tahoma"/>
      <w:sz w:val="16"/>
      <w:szCs w:val="16"/>
    </w:rPr>
  </w:style>
  <w:style w:type="character" w:styleId="PlaceholderText">
    <w:name w:val="Placeholder Text"/>
    <w:basedOn w:val="DefaultParagraphFont"/>
    <w:uiPriority w:val="99"/>
    <w:semiHidden/>
    <w:rsid w:val="00E718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4956">
      <w:bodyDiv w:val="1"/>
      <w:marLeft w:val="0"/>
      <w:marRight w:val="0"/>
      <w:marTop w:val="0"/>
      <w:marBottom w:val="0"/>
      <w:divBdr>
        <w:top w:val="none" w:sz="0" w:space="0" w:color="auto"/>
        <w:left w:val="none" w:sz="0" w:space="0" w:color="auto"/>
        <w:bottom w:val="none" w:sz="0" w:space="0" w:color="auto"/>
        <w:right w:val="none" w:sz="0" w:space="0" w:color="auto"/>
      </w:divBdr>
      <w:divsChild>
        <w:div w:id="281883972">
          <w:marLeft w:val="547"/>
          <w:marRight w:val="0"/>
          <w:marTop w:val="106"/>
          <w:marBottom w:val="0"/>
          <w:divBdr>
            <w:top w:val="none" w:sz="0" w:space="0" w:color="auto"/>
            <w:left w:val="none" w:sz="0" w:space="0" w:color="auto"/>
            <w:bottom w:val="none" w:sz="0" w:space="0" w:color="auto"/>
            <w:right w:val="none" w:sz="0" w:space="0" w:color="auto"/>
          </w:divBdr>
        </w:div>
        <w:div w:id="506137879">
          <w:marLeft w:val="547"/>
          <w:marRight w:val="0"/>
          <w:marTop w:val="106"/>
          <w:marBottom w:val="0"/>
          <w:divBdr>
            <w:top w:val="none" w:sz="0" w:space="0" w:color="auto"/>
            <w:left w:val="none" w:sz="0" w:space="0" w:color="auto"/>
            <w:bottom w:val="none" w:sz="0" w:space="0" w:color="auto"/>
            <w:right w:val="none" w:sz="0" w:space="0" w:color="auto"/>
          </w:divBdr>
        </w:div>
        <w:div w:id="762068865">
          <w:marLeft w:val="547"/>
          <w:marRight w:val="0"/>
          <w:marTop w:val="106"/>
          <w:marBottom w:val="0"/>
          <w:divBdr>
            <w:top w:val="none" w:sz="0" w:space="0" w:color="auto"/>
            <w:left w:val="none" w:sz="0" w:space="0" w:color="auto"/>
            <w:bottom w:val="none" w:sz="0" w:space="0" w:color="auto"/>
            <w:right w:val="none" w:sz="0" w:space="0" w:color="auto"/>
          </w:divBdr>
        </w:div>
        <w:div w:id="1451894676">
          <w:marLeft w:val="547"/>
          <w:marRight w:val="0"/>
          <w:marTop w:val="106"/>
          <w:marBottom w:val="0"/>
          <w:divBdr>
            <w:top w:val="none" w:sz="0" w:space="0" w:color="auto"/>
            <w:left w:val="none" w:sz="0" w:space="0" w:color="auto"/>
            <w:bottom w:val="none" w:sz="0" w:space="0" w:color="auto"/>
            <w:right w:val="none" w:sz="0" w:space="0" w:color="auto"/>
          </w:divBdr>
        </w:div>
        <w:div w:id="1770616472">
          <w:marLeft w:val="547"/>
          <w:marRight w:val="0"/>
          <w:marTop w:val="106"/>
          <w:marBottom w:val="0"/>
          <w:divBdr>
            <w:top w:val="none" w:sz="0" w:space="0" w:color="auto"/>
            <w:left w:val="none" w:sz="0" w:space="0" w:color="auto"/>
            <w:bottom w:val="none" w:sz="0" w:space="0" w:color="auto"/>
            <w:right w:val="none" w:sz="0" w:space="0" w:color="auto"/>
          </w:divBdr>
        </w:div>
      </w:divsChild>
    </w:div>
    <w:div w:id="172307842">
      <w:bodyDiv w:val="1"/>
      <w:marLeft w:val="0"/>
      <w:marRight w:val="0"/>
      <w:marTop w:val="0"/>
      <w:marBottom w:val="0"/>
      <w:divBdr>
        <w:top w:val="none" w:sz="0" w:space="0" w:color="auto"/>
        <w:left w:val="none" w:sz="0" w:space="0" w:color="auto"/>
        <w:bottom w:val="none" w:sz="0" w:space="0" w:color="auto"/>
        <w:right w:val="none" w:sz="0" w:space="0" w:color="auto"/>
      </w:divBdr>
      <w:divsChild>
        <w:div w:id="177278650">
          <w:marLeft w:val="547"/>
          <w:marRight w:val="0"/>
          <w:marTop w:val="106"/>
          <w:marBottom w:val="0"/>
          <w:divBdr>
            <w:top w:val="none" w:sz="0" w:space="0" w:color="auto"/>
            <w:left w:val="none" w:sz="0" w:space="0" w:color="auto"/>
            <w:bottom w:val="none" w:sz="0" w:space="0" w:color="auto"/>
            <w:right w:val="none" w:sz="0" w:space="0" w:color="auto"/>
          </w:divBdr>
        </w:div>
        <w:div w:id="449473981">
          <w:marLeft w:val="547"/>
          <w:marRight w:val="0"/>
          <w:marTop w:val="106"/>
          <w:marBottom w:val="0"/>
          <w:divBdr>
            <w:top w:val="none" w:sz="0" w:space="0" w:color="auto"/>
            <w:left w:val="none" w:sz="0" w:space="0" w:color="auto"/>
            <w:bottom w:val="none" w:sz="0" w:space="0" w:color="auto"/>
            <w:right w:val="none" w:sz="0" w:space="0" w:color="auto"/>
          </w:divBdr>
        </w:div>
        <w:div w:id="1490749426">
          <w:marLeft w:val="547"/>
          <w:marRight w:val="0"/>
          <w:marTop w:val="106"/>
          <w:marBottom w:val="0"/>
          <w:divBdr>
            <w:top w:val="none" w:sz="0" w:space="0" w:color="auto"/>
            <w:left w:val="none" w:sz="0" w:space="0" w:color="auto"/>
            <w:bottom w:val="none" w:sz="0" w:space="0" w:color="auto"/>
            <w:right w:val="none" w:sz="0" w:space="0" w:color="auto"/>
          </w:divBdr>
        </w:div>
        <w:div w:id="1607931274">
          <w:marLeft w:val="547"/>
          <w:marRight w:val="0"/>
          <w:marTop w:val="106"/>
          <w:marBottom w:val="0"/>
          <w:divBdr>
            <w:top w:val="none" w:sz="0" w:space="0" w:color="auto"/>
            <w:left w:val="none" w:sz="0" w:space="0" w:color="auto"/>
            <w:bottom w:val="none" w:sz="0" w:space="0" w:color="auto"/>
            <w:right w:val="none" w:sz="0" w:space="0" w:color="auto"/>
          </w:divBdr>
        </w:div>
        <w:div w:id="1929579095">
          <w:marLeft w:val="547"/>
          <w:marRight w:val="0"/>
          <w:marTop w:val="106"/>
          <w:marBottom w:val="0"/>
          <w:divBdr>
            <w:top w:val="none" w:sz="0" w:space="0" w:color="auto"/>
            <w:left w:val="none" w:sz="0" w:space="0" w:color="auto"/>
            <w:bottom w:val="none" w:sz="0" w:space="0" w:color="auto"/>
            <w:right w:val="none" w:sz="0" w:space="0" w:color="auto"/>
          </w:divBdr>
        </w:div>
      </w:divsChild>
    </w:div>
    <w:div w:id="667827844">
      <w:bodyDiv w:val="1"/>
      <w:marLeft w:val="0"/>
      <w:marRight w:val="0"/>
      <w:marTop w:val="0"/>
      <w:marBottom w:val="0"/>
      <w:divBdr>
        <w:top w:val="none" w:sz="0" w:space="0" w:color="auto"/>
        <w:left w:val="none" w:sz="0" w:space="0" w:color="auto"/>
        <w:bottom w:val="none" w:sz="0" w:space="0" w:color="auto"/>
        <w:right w:val="none" w:sz="0" w:space="0" w:color="auto"/>
      </w:divBdr>
      <w:divsChild>
        <w:div w:id="214434321">
          <w:marLeft w:val="547"/>
          <w:marRight w:val="0"/>
          <w:marTop w:val="106"/>
          <w:marBottom w:val="0"/>
          <w:divBdr>
            <w:top w:val="none" w:sz="0" w:space="0" w:color="auto"/>
            <w:left w:val="none" w:sz="0" w:space="0" w:color="auto"/>
            <w:bottom w:val="none" w:sz="0" w:space="0" w:color="auto"/>
            <w:right w:val="none" w:sz="0" w:space="0" w:color="auto"/>
          </w:divBdr>
        </w:div>
        <w:div w:id="763651020">
          <w:marLeft w:val="547"/>
          <w:marRight w:val="0"/>
          <w:marTop w:val="106"/>
          <w:marBottom w:val="0"/>
          <w:divBdr>
            <w:top w:val="none" w:sz="0" w:space="0" w:color="auto"/>
            <w:left w:val="none" w:sz="0" w:space="0" w:color="auto"/>
            <w:bottom w:val="none" w:sz="0" w:space="0" w:color="auto"/>
            <w:right w:val="none" w:sz="0" w:space="0" w:color="auto"/>
          </w:divBdr>
        </w:div>
        <w:div w:id="871964859">
          <w:marLeft w:val="547"/>
          <w:marRight w:val="0"/>
          <w:marTop w:val="106"/>
          <w:marBottom w:val="0"/>
          <w:divBdr>
            <w:top w:val="none" w:sz="0" w:space="0" w:color="auto"/>
            <w:left w:val="none" w:sz="0" w:space="0" w:color="auto"/>
            <w:bottom w:val="none" w:sz="0" w:space="0" w:color="auto"/>
            <w:right w:val="none" w:sz="0" w:space="0" w:color="auto"/>
          </w:divBdr>
        </w:div>
        <w:div w:id="1772892374">
          <w:marLeft w:val="547"/>
          <w:marRight w:val="0"/>
          <w:marTop w:val="106"/>
          <w:marBottom w:val="0"/>
          <w:divBdr>
            <w:top w:val="none" w:sz="0" w:space="0" w:color="auto"/>
            <w:left w:val="none" w:sz="0" w:space="0" w:color="auto"/>
            <w:bottom w:val="none" w:sz="0" w:space="0" w:color="auto"/>
            <w:right w:val="none" w:sz="0" w:space="0" w:color="auto"/>
          </w:divBdr>
        </w:div>
      </w:divsChild>
    </w:div>
    <w:div w:id="1103721304">
      <w:bodyDiv w:val="1"/>
      <w:marLeft w:val="0"/>
      <w:marRight w:val="0"/>
      <w:marTop w:val="0"/>
      <w:marBottom w:val="0"/>
      <w:divBdr>
        <w:top w:val="none" w:sz="0" w:space="0" w:color="auto"/>
        <w:left w:val="none" w:sz="0" w:space="0" w:color="auto"/>
        <w:bottom w:val="none" w:sz="0" w:space="0" w:color="auto"/>
        <w:right w:val="none" w:sz="0" w:space="0" w:color="auto"/>
      </w:divBdr>
      <w:divsChild>
        <w:div w:id="596867045">
          <w:marLeft w:val="547"/>
          <w:marRight w:val="0"/>
          <w:marTop w:val="106"/>
          <w:marBottom w:val="0"/>
          <w:divBdr>
            <w:top w:val="none" w:sz="0" w:space="0" w:color="auto"/>
            <w:left w:val="none" w:sz="0" w:space="0" w:color="auto"/>
            <w:bottom w:val="none" w:sz="0" w:space="0" w:color="auto"/>
            <w:right w:val="none" w:sz="0" w:space="0" w:color="auto"/>
          </w:divBdr>
        </w:div>
        <w:div w:id="901018796">
          <w:marLeft w:val="547"/>
          <w:marRight w:val="0"/>
          <w:marTop w:val="106"/>
          <w:marBottom w:val="0"/>
          <w:divBdr>
            <w:top w:val="none" w:sz="0" w:space="0" w:color="auto"/>
            <w:left w:val="none" w:sz="0" w:space="0" w:color="auto"/>
            <w:bottom w:val="none" w:sz="0" w:space="0" w:color="auto"/>
            <w:right w:val="none" w:sz="0" w:space="0" w:color="auto"/>
          </w:divBdr>
        </w:div>
        <w:div w:id="1842500979">
          <w:marLeft w:val="547"/>
          <w:marRight w:val="0"/>
          <w:marTop w:val="106"/>
          <w:marBottom w:val="0"/>
          <w:divBdr>
            <w:top w:val="none" w:sz="0" w:space="0" w:color="auto"/>
            <w:left w:val="none" w:sz="0" w:space="0" w:color="auto"/>
            <w:bottom w:val="none" w:sz="0" w:space="0" w:color="auto"/>
            <w:right w:val="none" w:sz="0" w:space="0" w:color="auto"/>
          </w:divBdr>
        </w:div>
      </w:divsChild>
    </w:div>
    <w:div w:id="1338578451">
      <w:bodyDiv w:val="1"/>
      <w:marLeft w:val="0"/>
      <w:marRight w:val="0"/>
      <w:marTop w:val="0"/>
      <w:marBottom w:val="0"/>
      <w:divBdr>
        <w:top w:val="none" w:sz="0" w:space="0" w:color="auto"/>
        <w:left w:val="none" w:sz="0" w:space="0" w:color="auto"/>
        <w:bottom w:val="none" w:sz="0" w:space="0" w:color="auto"/>
        <w:right w:val="none" w:sz="0" w:space="0" w:color="auto"/>
      </w:divBdr>
      <w:divsChild>
        <w:div w:id="61563709">
          <w:marLeft w:val="547"/>
          <w:marRight w:val="0"/>
          <w:marTop w:val="106"/>
          <w:marBottom w:val="0"/>
          <w:divBdr>
            <w:top w:val="none" w:sz="0" w:space="0" w:color="auto"/>
            <w:left w:val="none" w:sz="0" w:space="0" w:color="auto"/>
            <w:bottom w:val="none" w:sz="0" w:space="0" w:color="auto"/>
            <w:right w:val="none" w:sz="0" w:space="0" w:color="auto"/>
          </w:divBdr>
        </w:div>
        <w:div w:id="495534480">
          <w:marLeft w:val="547"/>
          <w:marRight w:val="0"/>
          <w:marTop w:val="106"/>
          <w:marBottom w:val="0"/>
          <w:divBdr>
            <w:top w:val="none" w:sz="0" w:space="0" w:color="auto"/>
            <w:left w:val="none" w:sz="0" w:space="0" w:color="auto"/>
            <w:bottom w:val="none" w:sz="0" w:space="0" w:color="auto"/>
            <w:right w:val="none" w:sz="0" w:space="0" w:color="auto"/>
          </w:divBdr>
        </w:div>
        <w:div w:id="626474867">
          <w:marLeft w:val="547"/>
          <w:marRight w:val="0"/>
          <w:marTop w:val="106"/>
          <w:marBottom w:val="0"/>
          <w:divBdr>
            <w:top w:val="none" w:sz="0" w:space="0" w:color="auto"/>
            <w:left w:val="none" w:sz="0" w:space="0" w:color="auto"/>
            <w:bottom w:val="none" w:sz="0" w:space="0" w:color="auto"/>
            <w:right w:val="none" w:sz="0" w:space="0" w:color="auto"/>
          </w:divBdr>
        </w:div>
        <w:div w:id="975647294">
          <w:marLeft w:val="547"/>
          <w:marRight w:val="0"/>
          <w:marTop w:val="106"/>
          <w:marBottom w:val="0"/>
          <w:divBdr>
            <w:top w:val="none" w:sz="0" w:space="0" w:color="auto"/>
            <w:left w:val="none" w:sz="0" w:space="0" w:color="auto"/>
            <w:bottom w:val="none" w:sz="0" w:space="0" w:color="auto"/>
            <w:right w:val="none" w:sz="0" w:space="0" w:color="auto"/>
          </w:divBdr>
        </w:div>
      </w:divsChild>
    </w:div>
    <w:div w:id="1725061987">
      <w:bodyDiv w:val="1"/>
      <w:marLeft w:val="0"/>
      <w:marRight w:val="0"/>
      <w:marTop w:val="0"/>
      <w:marBottom w:val="0"/>
      <w:divBdr>
        <w:top w:val="none" w:sz="0" w:space="0" w:color="auto"/>
        <w:left w:val="none" w:sz="0" w:space="0" w:color="auto"/>
        <w:bottom w:val="none" w:sz="0" w:space="0" w:color="auto"/>
        <w:right w:val="none" w:sz="0" w:space="0" w:color="auto"/>
      </w:divBdr>
      <w:divsChild>
        <w:div w:id="114911519">
          <w:marLeft w:val="547"/>
          <w:marRight w:val="0"/>
          <w:marTop w:val="106"/>
          <w:marBottom w:val="0"/>
          <w:divBdr>
            <w:top w:val="none" w:sz="0" w:space="0" w:color="auto"/>
            <w:left w:val="none" w:sz="0" w:space="0" w:color="auto"/>
            <w:bottom w:val="none" w:sz="0" w:space="0" w:color="auto"/>
            <w:right w:val="none" w:sz="0" w:space="0" w:color="auto"/>
          </w:divBdr>
        </w:div>
        <w:div w:id="178661411">
          <w:marLeft w:val="547"/>
          <w:marRight w:val="0"/>
          <w:marTop w:val="106"/>
          <w:marBottom w:val="0"/>
          <w:divBdr>
            <w:top w:val="none" w:sz="0" w:space="0" w:color="auto"/>
            <w:left w:val="none" w:sz="0" w:space="0" w:color="auto"/>
            <w:bottom w:val="none" w:sz="0" w:space="0" w:color="auto"/>
            <w:right w:val="none" w:sz="0" w:space="0" w:color="auto"/>
          </w:divBdr>
        </w:div>
        <w:div w:id="212814923">
          <w:marLeft w:val="547"/>
          <w:marRight w:val="0"/>
          <w:marTop w:val="106"/>
          <w:marBottom w:val="0"/>
          <w:divBdr>
            <w:top w:val="none" w:sz="0" w:space="0" w:color="auto"/>
            <w:left w:val="none" w:sz="0" w:space="0" w:color="auto"/>
            <w:bottom w:val="none" w:sz="0" w:space="0" w:color="auto"/>
            <w:right w:val="none" w:sz="0" w:space="0" w:color="auto"/>
          </w:divBdr>
        </w:div>
        <w:div w:id="528104717">
          <w:marLeft w:val="547"/>
          <w:marRight w:val="0"/>
          <w:marTop w:val="106"/>
          <w:marBottom w:val="0"/>
          <w:divBdr>
            <w:top w:val="none" w:sz="0" w:space="0" w:color="auto"/>
            <w:left w:val="none" w:sz="0" w:space="0" w:color="auto"/>
            <w:bottom w:val="none" w:sz="0" w:space="0" w:color="auto"/>
            <w:right w:val="none" w:sz="0" w:space="0" w:color="auto"/>
          </w:divBdr>
        </w:div>
        <w:div w:id="1367172905">
          <w:marLeft w:val="547"/>
          <w:marRight w:val="0"/>
          <w:marTop w:val="106"/>
          <w:marBottom w:val="0"/>
          <w:divBdr>
            <w:top w:val="none" w:sz="0" w:space="0" w:color="auto"/>
            <w:left w:val="none" w:sz="0" w:space="0" w:color="auto"/>
            <w:bottom w:val="none" w:sz="0" w:space="0" w:color="auto"/>
            <w:right w:val="none" w:sz="0" w:space="0" w:color="auto"/>
          </w:divBdr>
        </w:div>
      </w:divsChild>
    </w:div>
    <w:div w:id="1917350777">
      <w:bodyDiv w:val="1"/>
      <w:marLeft w:val="0"/>
      <w:marRight w:val="0"/>
      <w:marTop w:val="0"/>
      <w:marBottom w:val="0"/>
      <w:divBdr>
        <w:top w:val="none" w:sz="0" w:space="0" w:color="auto"/>
        <w:left w:val="none" w:sz="0" w:space="0" w:color="auto"/>
        <w:bottom w:val="none" w:sz="0" w:space="0" w:color="auto"/>
        <w:right w:val="none" w:sz="0" w:space="0" w:color="auto"/>
      </w:divBdr>
      <w:divsChild>
        <w:div w:id="18237738">
          <w:marLeft w:val="547"/>
          <w:marRight w:val="0"/>
          <w:marTop w:val="106"/>
          <w:marBottom w:val="0"/>
          <w:divBdr>
            <w:top w:val="none" w:sz="0" w:space="0" w:color="auto"/>
            <w:left w:val="none" w:sz="0" w:space="0" w:color="auto"/>
            <w:bottom w:val="none" w:sz="0" w:space="0" w:color="auto"/>
            <w:right w:val="none" w:sz="0" w:space="0" w:color="auto"/>
          </w:divBdr>
        </w:div>
        <w:div w:id="788546707">
          <w:marLeft w:val="547"/>
          <w:marRight w:val="0"/>
          <w:marTop w:val="106"/>
          <w:marBottom w:val="0"/>
          <w:divBdr>
            <w:top w:val="none" w:sz="0" w:space="0" w:color="auto"/>
            <w:left w:val="none" w:sz="0" w:space="0" w:color="auto"/>
            <w:bottom w:val="none" w:sz="0" w:space="0" w:color="auto"/>
            <w:right w:val="none" w:sz="0" w:space="0" w:color="auto"/>
          </w:divBdr>
        </w:div>
        <w:div w:id="991644894">
          <w:marLeft w:val="547"/>
          <w:marRight w:val="0"/>
          <w:marTop w:val="106"/>
          <w:marBottom w:val="0"/>
          <w:divBdr>
            <w:top w:val="none" w:sz="0" w:space="0" w:color="auto"/>
            <w:left w:val="none" w:sz="0" w:space="0" w:color="auto"/>
            <w:bottom w:val="none" w:sz="0" w:space="0" w:color="auto"/>
            <w:right w:val="none" w:sz="0" w:space="0" w:color="auto"/>
          </w:divBdr>
        </w:div>
        <w:div w:id="166848310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deq.m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6E36A16D361246BE7EFE9DC6232C2E" ma:contentTypeVersion="12" ma:contentTypeDescription="Create a new document." ma:contentTypeScope="" ma:versionID="c78c9d5e1ee5b28aa324643dc7d6dbe6">
  <xsd:schema xmlns:xsd="http://www.w3.org/2001/XMLSchema" xmlns:xs="http://www.w3.org/2001/XMLSchema" xmlns:p="http://schemas.microsoft.com/office/2006/metadata/properties" xmlns:ns3="5b7d2ae4-a452-4406-aac6-dc183d564629" xmlns:ns4="0e600864-1659-4d51-800e-ea78681eff1c" targetNamespace="http://schemas.microsoft.com/office/2006/metadata/properties" ma:root="true" ma:fieldsID="02d8350420d68aac60ed73f09150da91" ns3:_="" ns4:_="">
    <xsd:import namespace="5b7d2ae4-a452-4406-aac6-dc183d564629"/>
    <xsd:import namespace="0e600864-1659-4d51-800e-ea78681ef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2ae4-a452-4406-aac6-dc183d564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00864-1659-4d51-800e-ea78681eff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AA46C-48CE-4A70-85E5-CA83B80562FD}">
  <ds:schemaRefs>
    <ds:schemaRef ds:uri="http://schemas.openxmlformats.org/officeDocument/2006/bibliography"/>
  </ds:schemaRefs>
</ds:datastoreItem>
</file>

<file path=customXml/itemProps2.xml><?xml version="1.0" encoding="utf-8"?>
<ds:datastoreItem xmlns:ds="http://schemas.openxmlformats.org/officeDocument/2006/customXml" ds:itemID="{02D8F3D0-918D-4718-AF55-A9A0D8C7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2ae4-a452-4406-aac6-dc183d564629"/>
    <ds:schemaRef ds:uri="0e600864-1659-4d51-800e-ea78681e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EA31B-302C-4A43-8C94-CC56EC0C2303}">
  <ds:schemaRefs>
    <ds:schemaRef ds:uri="http://schemas.microsoft.com/sharepoint/v3/contenttype/forms"/>
  </ds:schemaRefs>
</ds:datastoreItem>
</file>

<file path=customXml/itemProps4.xml><?xml version="1.0" encoding="utf-8"?>
<ds:datastoreItem xmlns:ds="http://schemas.openxmlformats.org/officeDocument/2006/customXml" ds:itemID="{5E5B29DF-F63D-4A85-8B60-96C63E3A5695}">
  <ds:schemaRefs>
    <ds:schemaRef ds:uri="http://schemas.microsoft.com/office/2006/metadata/properties"/>
    <ds:schemaRef ds:uri="http://schemas.microsoft.com/office/2006/documentManagement/types"/>
    <ds:schemaRef ds:uri="http://purl.org/dc/terms/"/>
    <ds:schemaRef ds:uri="5b7d2ae4-a452-4406-aac6-dc183d564629"/>
    <ds:schemaRef ds:uri="http://purl.org/dc/dcmitype/"/>
    <ds:schemaRef ds:uri="http://schemas.microsoft.com/office/infopath/2007/PartnerControls"/>
    <ds:schemaRef ds:uri="http://purl.org/dc/elements/1.1/"/>
    <ds:schemaRef ds:uri="http://schemas.openxmlformats.org/package/2006/metadata/core-properties"/>
    <ds:schemaRef ds:uri="0e600864-1659-4d51-800e-ea78681eff1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2449</Words>
  <Characters>22536</Characters>
  <Application>Microsoft Office Word</Application>
  <DocSecurity>0</DocSecurity>
  <Lines>187</Lines>
  <Paragraphs>49</Paragraphs>
  <ScaleCrop>false</ScaleCrop>
  <HeadingPairs>
    <vt:vector size="2" baseType="variant">
      <vt:variant>
        <vt:lpstr>Title</vt:lpstr>
      </vt:variant>
      <vt:variant>
        <vt:i4>1</vt:i4>
      </vt:variant>
    </vt:vector>
  </HeadingPairs>
  <TitlesOfParts>
    <vt:vector size="1" baseType="lpstr">
      <vt:lpstr>Guidance for Developing a Demonstration of Need</vt:lpstr>
    </vt:vector>
  </TitlesOfParts>
  <Company>MDEQ</Company>
  <LinksUpToDate>false</LinksUpToDate>
  <CharactersWithSpaces>24936</CharactersWithSpaces>
  <SharedDoc>false</SharedDoc>
  <HLinks>
    <vt:vector size="6" baseType="variant">
      <vt:variant>
        <vt:i4>589835</vt:i4>
      </vt:variant>
      <vt:variant>
        <vt:i4>144</vt:i4>
      </vt:variant>
      <vt:variant>
        <vt:i4>0</vt:i4>
      </vt:variant>
      <vt:variant>
        <vt:i4>5</vt:i4>
      </vt:variant>
      <vt:variant>
        <vt:lpwstr>../../../mwilliams/AppData/Local/Temp/notesDE481F/www.deq.state.ms.us/solidwaste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Developing a Demonstration of Need</dc:title>
  <dc:creator>Mark Williams</dc:creator>
  <cp:lastModifiedBy>Charlie Bock</cp:lastModifiedBy>
  <cp:revision>5</cp:revision>
  <dcterms:created xsi:type="dcterms:W3CDTF">2021-11-04T21:54:00Z</dcterms:created>
  <dcterms:modified xsi:type="dcterms:W3CDTF">2024-05-09T16:00:00Z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0x0101001D6E36A16D361246BE7EFE9DC6232C2E</vt:lpwstr>
  </property>
</Properties>
</file>