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F522D" w14:textId="032BD5CC" w:rsidR="00393136" w:rsidRPr="00093711" w:rsidRDefault="00393136" w:rsidP="00093711">
      <w:pPr>
        <w:pStyle w:val="ListParagraph"/>
        <w:spacing w:before="120" w:after="120" w:line="240" w:lineRule="auto"/>
        <w:contextualSpacing w:val="0"/>
        <w:jc w:val="center"/>
        <w:rPr>
          <w:rFonts w:ascii="Times New Roman" w:hAnsi="Times New Roman" w:cs="Times New Roman"/>
          <w:b/>
          <w:sz w:val="24"/>
          <w:szCs w:val="24"/>
        </w:rPr>
      </w:pPr>
      <w:r w:rsidRPr="00393136">
        <w:rPr>
          <w:rFonts w:ascii="Times New Roman" w:hAnsi="Times New Roman" w:cs="Times New Roman"/>
          <w:b/>
          <w:sz w:val="24"/>
          <w:szCs w:val="24"/>
        </w:rPr>
        <w:t>STATEMENT OF BASIS</w:t>
      </w:r>
      <w:r w:rsidR="00B36D65">
        <w:rPr>
          <w:rFonts w:ascii="Times New Roman" w:hAnsi="Times New Roman" w:cs="Times New Roman"/>
          <w:b/>
          <w:sz w:val="24"/>
          <w:szCs w:val="24"/>
        </w:rPr>
        <w:t xml:space="preserve"> </w:t>
      </w:r>
    </w:p>
    <w:p w14:paraId="3620742C" w14:textId="77777777" w:rsidR="00393136" w:rsidRPr="00393136" w:rsidRDefault="00393136" w:rsidP="00093711">
      <w:pPr>
        <w:spacing w:before="120" w:after="120" w:line="240" w:lineRule="auto"/>
        <w:ind w:left="360"/>
        <w:jc w:val="center"/>
        <w:rPr>
          <w:rFonts w:ascii="Times New Roman" w:hAnsi="Times New Roman" w:cs="Times New Roman"/>
          <w:b/>
          <w:sz w:val="24"/>
          <w:szCs w:val="24"/>
        </w:rPr>
      </w:pPr>
      <w:r w:rsidRPr="00393136">
        <w:rPr>
          <w:rFonts w:ascii="Times New Roman" w:hAnsi="Times New Roman" w:cs="Times New Roman"/>
          <w:b/>
          <w:sz w:val="24"/>
          <w:szCs w:val="24"/>
        </w:rPr>
        <w:t>AIR CONSTRUCTION AND SYNTHETIC MINOR OPERATING</w:t>
      </w:r>
    </w:p>
    <w:p w14:paraId="16157E26" w14:textId="77777777" w:rsidR="00393136" w:rsidRPr="00393136" w:rsidRDefault="00393136" w:rsidP="00093711">
      <w:pPr>
        <w:pStyle w:val="ListParagraph"/>
        <w:spacing w:before="120" w:after="120" w:line="240" w:lineRule="auto"/>
        <w:contextualSpacing w:val="0"/>
        <w:jc w:val="center"/>
        <w:rPr>
          <w:rFonts w:ascii="Times New Roman" w:hAnsi="Times New Roman" w:cs="Times New Roman"/>
          <w:b/>
          <w:sz w:val="24"/>
          <w:szCs w:val="24"/>
        </w:rPr>
      </w:pPr>
      <w:r w:rsidRPr="00393136">
        <w:rPr>
          <w:rFonts w:ascii="Times New Roman" w:hAnsi="Times New Roman" w:cs="Times New Roman"/>
          <w:b/>
          <w:sz w:val="24"/>
          <w:szCs w:val="24"/>
        </w:rPr>
        <w:t>OIL PRODUCTION GENERAL PERMIT</w:t>
      </w:r>
    </w:p>
    <w:p w14:paraId="51953A31" w14:textId="67133EED" w:rsidR="00393136" w:rsidRDefault="00393136" w:rsidP="007118E8">
      <w:pPr>
        <w:pStyle w:val="ListParagraph"/>
        <w:spacing w:before="120" w:after="120" w:line="360" w:lineRule="auto"/>
        <w:contextualSpacing w:val="0"/>
        <w:jc w:val="center"/>
        <w:rPr>
          <w:rFonts w:ascii="Times New Roman" w:hAnsi="Times New Roman" w:cs="Times New Roman"/>
          <w:b/>
          <w:sz w:val="24"/>
          <w:szCs w:val="24"/>
        </w:rPr>
      </w:pPr>
      <w:r w:rsidRPr="00393136">
        <w:rPr>
          <w:rFonts w:ascii="Times New Roman" w:hAnsi="Times New Roman" w:cs="Times New Roman"/>
          <w:b/>
          <w:sz w:val="24"/>
          <w:szCs w:val="24"/>
        </w:rPr>
        <w:t>Permit</w:t>
      </w:r>
      <w:r>
        <w:rPr>
          <w:rFonts w:ascii="Times New Roman" w:hAnsi="Times New Roman" w:cs="Times New Roman"/>
          <w:b/>
          <w:sz w:val="24"/>
          <w:szCs w:val="24"/>
        </w:rPr>
        <w:t xml:space="preserve"> No</w:t>
      </w:r>
      <w:r w:rsidRPr="00393136">
        <w:rPr>
          <w:rFonts w:ascii="Times New Roman" w:hAnsi="Times New Roman" w:cs="Times New Roman"/>
          <w:b/>
          <w:sz w:val="24"/>
          <w:szCs w:val="24"/>
        </w:rPr>
        <w:t>.</w:t>
      </w:r>
      <w:r w:rsidR="00202470">
        <w:rPr>
          <w:rFonts w:ascii="Times New Roman" w:hAnsi="Times New Roman" w:cs="Times New Roman"/>
          <w:b/>
          <w:sz w:val="24"/>
          <w:szCs w:val="24"/>
        </w:rPr>
        <w:t xml:space="preserve"> MSOPGP</w:t>
      </w:r>
    </w:p>
    <w:p w14:paraId="64E64117" w14:textId="77777777" w:rsidR="0079766D" w:rsidRDefault="006E3033" w:rsidP="007118E8">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PURPOSE </w:t>
      </w:r>
    </w:p>
    <w:p w14:paraId="705C00A5" w14:textId="055C91B7" w:rsidR="0079766D" w:rsidRDefault="006E3033" w:rsidP="007118E8">
      <w:pPr>
        <w:pStyle w:val="ListParagraph"/>
        <w:spacing w:before="120" w:after="120" w:line="360" w:lineRule="auto"/>
        <w:ind w:left="360"/>
        <w:contextualSpacing w:val="0"/>
        <w:jc w:val="both"/>
        <w:rPr>
          <w:rFonts w:ascii="Times New Roman" w:hAnsi="Times New Roman" w:cs="Times New Roman"/>
          <w:sz w:val="24"/>
          <w:szCs w:val="24"/>
        </w:rPr>
      </w:pPr>
      <w:r w:rsidRPr="0079766D">
        <w:rPr>
          <w:rFonts w:ascii="Times New Roman" w:hAnsi="Times New Roman" w:cs="Times New Roman"/>
          <w:sz w:val="24"/>
          <w:szCs w:val="24"/>
        </w:rPr>
        <w:t xml:space="preserve">The </w:t>
      </w:r>
      <w:r w:rsidR="003906F4">
        <w:rPr>
          <w:rFonts w:ascii="Times New Roman" w:hAnsi="Times New Roman" w:cs="Times New Roman"/>
          <w:sz w:val="24"/>
          <w:szCs w:val="24"/>
        </w:rPr>
        <w:t>Oil Production G</w:t>
      </w:r>
      <w:r w:rsidRPr="0079766D">
        <w:rPr>
          <w:rFonts w:ascii="Times New Roman" w:hAnsi="Times New Roman" w:cs="Times New Roman"/>
          <w:sz w:val="24"/>
          <w:szCs w:val="24"/>
        </w:rPr>
        <w:t xml:space="preserve">eneral </w:t>
      </w:r>
      <w:r w:rsidR="003906F4">
        <w:rPr>
          <w:rFonts w:ascii="Times New Roman" w:hAnsi="Times New Roman" w:cs="Times New Roman"/>
          <w:sz w:val="24"/>
          <w:szCs w:val="24"/>
        </w:rPr>
        <w:t>P</w:t>
      </w:r>
      <w:r w:rsidRPr="0079766D">
        <w:rPr>
          <w:rFonts w:ascii="Times New Roman" w:hAnsi="Times New Roman" w:cs="Times New Roman"/>
          <w:sz w:val="24"/>
          <w:szCs w:val="24"/>
        </w:rPr>
        <w:t>ermit</w:t>
      </w:r>
      <w:r w:rsidR="003906F4">
        <w:rPr>
          <w:rFonts w:ascii="Times New Roman" w:hAnsi="Times New Roman" w:cs="Times New Roman"/>
          <w:sz w:val="24"/>
          <w:szCs w:val="24"/>
        </w:rPr>
        <w:t xml:space="preserve"> (OPGP)</w:t>
      </w:r>
      <w:r w:rsidRPr="0079766D">
        <w:rPr>
          <w:rFonts w:ascii="Times New Roman" w:hAnsi="Times New Roman" w:cs="Times New Roman"/>
          <w:sz w:val="24"/>
          <w:szCs w:val="24"/>
        </w:rPr>
        <w:t xml:space="preserve"> </w:t>
      </w:r>
      <w:r w:rsidR="00ED1D5D">
        <w:rPr>
          <w:rFonts w:ascii="Times New Roman" w:hAnsi="Times New Roman" w:cs="Times New Roman"/>
          <w:sz w:val="24"/>
          <w:szCs w:val="24"/>
        </w:rPr>
        <w:t>will</w:t>
      </w:r>
      <w:r w:rsidRPr="0079766D">
        <w:rPr>
          <w:rFonts w:ascii="Times New Roman" w:hAnsi="Times New Roman" w:cs="Times New Roman"/>
          <w:sz w:val="24"/>
          <w:szCs w:val="24"/>
        </w:rPr>
        <w:t xml:space="preserve"> cover owners and operators of oil wells drilled for the primary purpose of producing oil </w:t>
      </w:r>
      <w:r w:rsidR="00947978" w:rsidRPr="0079766D">
        <w:rPr>
          <w:rFonts w:ascii="Times New Roman" w:hAnsi="Times New Roman" w:cs="Times New Roman"/>
          <w:sz w:val="24"/>
          <w:szCs w:val="24"/>
        </w:rPr>
        <w:t xml:space="preserve">that route the associated produced gas to a flare </w:t>
      </w:r>
      <w:r w:rsidRPr="0079766D">
        <w:rPr>
          <w:rFonts w:ascii="Times New Roman" w:hAnsi="Times New Roman" w:cs="Times New Roman"/>
          <w:sz w:val="24"/>
          <w:szCs w:val="24"/>
        </w:rPr>
        <w:t>due to the unavailability of an adjacent natural gas pipeline.</w:t>
      </w:r>
    </w:p>
    <w:p w14:paraId="1491AC5C" w14:textId="7551A66F" w:rsidR="0079766D" w:rsidRPr="0079766D" w:rsidRDefault="00947978" w:rsidP="007118E8">
      <w:pPr>
        <w:pStyle w:val="ListParagraph"/>
        <w:spacing w:before="120" w:after="120" w:line="360" w:lineRule="auto"/>
        <w:ind w:left="360"/>
        <w:contextualSpacing w:val="0"/>
        <w:jc w:val="both"/>
        <w:rPr>
          <w:rFonts w:ascii="Times New Roman" w:hAnsi="Times New Roman" w:cs="Times New Roman"/>
          <w:sz w:val="24"/>
          <w:szCs w:val="24"/>
        </w:rPr>
      </w:pPr>
      <w:r w:rsidRPr="0079766D">
        <w:rPr>
          <w:rFonts w:ascii="Times New Roman" w:hAnsi="Times New Roman" w:cs="Times New Roman"/>
          <w:sz w:val="24"/>
          <w:szCs w:val="24"/>
        </w:rPr>
        <w:t>These types of facili</w:t>
      </w:r>
      <w:r w:rsidR="0074728A">
        <w:rPr>
          <w:rFonts w:ascii="Times New Roman" w:hAnsi="Times New Roman" w:cs="Times New Roman"/>
          <w:sz w:val="24"/>
          <w:szCs w:val="24"/>
        </w:rPr>
        <w:t xml:space="preserve">ties have </w:t>
      </w:r>
      <w:r w:rsidRPr="0079766D">
        <w:rPr>
          <w:rFonts w:ascii="Times New Roman" w:hAnsi="Times New Roman" w:cs="Times New Roman"/>
          <w:sz w:val="24"/>
          <w:szCs w:val="24"/>
        </w:rPr>
        <w:t>emissions o</w:t>
      </w:r>
      <w:r w:rsidR="006E3033" w:rsidRPr="0079766D">
        <w:rPr>
          <w:rFonts w:ascii="Times New Roman" w:hAnsi="Times New Roman" w:cs="Times New Roman"/>
          <w:sz w:val="24"/>
          <w:szCs w:val="24"/>
        </w:rPr>
        <w:t>f the criteria pollutant, Volatile Organic Compounds (VOC),</w:t>
      </w:r>
      <w:r w:rsidRPr="0079766D">
        <w:rPr>
          <w:rFonts w:ascii="Times New Roman" w:hAnsi="Times New Roman" w:cs="Times New Roman"/>
          <w:sz w:val="24"/>
          <w:szCs w:val="24"/>
        </w:rPr>
        <w:t xml:space="preserve"> </w:t>
      </w:r>
      <w:r w:rsidR="006E3033" w:rsidRPr="0079766D">
        <w:rPr>
          <w:rFonts w:ascii="Times New Roman" w:hAnsi="Times New Roman" w:cs="Times New Roman"/>
          <w:sz w:val="24"/>
          <w:szCs w:val="24"/>
        </w:rPr>
        <w:t>from venting the well’s produced gas</w:t>
      </w:r>
      <w:r w:rsidR="0074728A">
        <w:rPr>
          <w:rFonts w:ascii="Times New Roman" w:hAnsi="Times New Roman" w:cs="Times New Roman"/>
          <w:sz w:val="24"/>
          <w:szCs w:val="24"/>
        </w:rPr>
        <w:t xml:space="preserve">, which may exceed the </w:t>
      </w:r>
      <w:r w:rsidR="0074728A" w:rsidRPr="0079766D">
        <w:rPr>
          <w:rFonts w:ascii="Times New Roman" w:hAnsi="Times New Roman" w:cs="Times New Roman"/>
          <w:sz w:val="24"/>
          <w:szCs w:val="24"/>
        </w:rPr>
        <w:t>Prevention of Significant Deterioration</w:t>
      </w:r>
      <w:r w:rsidR="0074728A">
        <w:rPr>
          <w:rFonts w:ascii="Times New Roman" w:hAnsi="Times New Roman" w:cs="Times New Roman"/>
          <w:sz w:val="24"/>
          <w:szCs w:val="24"/>
        </w:rPr>
        <w:t xml:space="preserve"> (PSD) and Title V major source thresholds</w:t>
      </w:r>
      <w:r w:rsidRPr="0079766D">
        <w:rPr>
          <w:rFonts w:ascii="Times New Roman" w:hAnsi="Times New Roman" w:cs="Times New Roman"/>
          <w:sz w:val="24"/>
          <w:szCs w:val="24"/>
        </w:rPr>
        <w:t>.  In order to</w:t>
      </w:r>
      <w:r w:rsidR="0074728A">
        <w:rPr>
          <w:rFonts w:ascii="Times New Roman" w:hAnsi="Times New Roman" w:cs="Times New Roman"/>
          <w:sz w:val="24"/>
          <w:szCs w:val="24"/>
        </w:rPr>
        <w:t xml:space="preserve"> reduce the emissions below PSD major source</w:t>
      </w:r>
      <w:r w:rsidR="00755B0B" w:rsidRPr="0079766D">
        <w:rPr>
          <w:rFonts w:ascii="Times New Roman" w:hAnsi="Times New Roman" w:cs="Times New Roman"/>
          <w:sz w:val="24"/>
          <w:szCs w:val="24"/>
        </w:rPr>
        <w:t xml:space="preserve"> threshold of 250 tons per year and the </w:t>
      </w:r>
      <w:r w:rsidRPr="0079766D">
        <w:rPr>
          <w:rFonts w:ascii="Times New Roman" w:hAnsi="Times New Roman" w:cs="Times New Roman"/>
          <w:sz w:val="24"/>
          <w:szCs w:val="24"/>
        </w:rPr>
        <w:t>Title V</w:t>
      </w:r>
      <w:r w:rsidR="0074728A">
        <w:rPr>
          <w:rFonts w:ascii="Times New Roman" w:hAnsi="Times New Roman" w:cs="Times New Roman"/>
          <w:sz w:val="24"/>
          <w:szCs w:val="24"/>
        </w:rPr>
        <w:t xml:space="preserve"> major source</w:t>
      </w:r>
      <w:r w:rsidRPr="0079766D">
        <w:rPr>
          <w:rFonts w:ascii="Times New Roman" w:hAnsi="Times New Roman" w:cs="Times New Roman"/>
          <w:sz w:val="24"/>
          <w:szCs w:val="24"/>
        </w:rPr>
        <w:t xml:space="preserve"> threshold of 100 tons per year, these facilit</w:t>
      </w:r>
      <w:r w:rsidR="00ED1D5D">
        <w:rPr>
          <w:rFonts w:ascii="Times New Roman" w:hAnsi="Times New Roman" w:cs="Times New Roman"/>
          <w:sz w:val="24"/>
          <w:szCs w:val="24"/>
        </w:rPr>
        <w:t>ies</w:t>
      </w:r>
      <w:r w:rsidRPr="0079766D">
        <w:rPr>
          <w:rFonts w:ascii="Times New Roman" w:hAnsi="Times New Roman" w:cs="Times New Roman"/>
          <w:sz w:val="24"/>
          <w:szCs w:val="24"/>
        </w:rPr>
        <w:t xml:space="preserve"> </w:t>
      </w:r>
      <w:r w:rsidR="00ED1D5D">
        <w:rPr>
          <w:rFonts w:ascii="Times New Roman" w:hAnsi="Times New Roman" w:cs="Times New Roman"/>
          <w:sz w:val="24"/>
          <w:szCs w:val="24"/>
        </w:rPr>
        <w:t>will be subject to</w:t>
      </w:r>
      <w:r w:rsidRPr="0079766D">
        <w:rPr>
          <w:rFonts w:ascii="Times New Roman" w:hAnsi="Times New Roman" w:cs="Times New Roman"/>
          <w:sz w:val="24"/>
          <w:szCs w:val="24"/>
        </w:rPr>
        <w:t xml:space="preserve"> a</w:t>
      </w:r>
      <w:r w:rsidR="006E3033" w:rsidRPr="0079766D">
        <w:rPr>
          <w:rFonts w:ascii="Times New Roman" w:hAnsi="Times New Roman" w:cs="Times New Roman"/>
          <w:sz w:val="24"/>
          <w:szCs w:val="24"/>
        </w:rPr>
        <w:t xml:space="preserve"> </w:t>
      </w:r>
      <w:r w:rsidR="00256393">
        <w:rPr>
          <w:rFonts w:ascii="Times New Roman" w:hAnsi="Times New Roman" w:cs="Times New Roman"/>
          <w:sz w:val="24"/>
          <w:szCs w:val="24"/>
        </w:rPr>
        <w:t>federally enfor</w:t>
      </w:r>
      <w:r w:rsidR="0074728A">
        <w:rPr>
          <w:rFonts w:ascii="Times New Roman" w:hAnsi="Times New Roman" w:cs="Times New Roman"/>
          <w:sz w:val="24"/>
          <w:szCs w:val="24"/>
        </w:rPr>
        <w:t>c</w:t>
      </w:r>
      <w:r w:rsidR="00256393">
        <w:rPr>
          <w:rFonts w:ascii="Times New Roman" w:hAnsi="Times New Roman" w:cs="Times New Roman"/>
          <w:sz w:val="24"/>
          <w:szCs w:val="24"/>
        </w:rPr>
        <w:t>eable</w:t>
      </w:r>
      <w:r w:rsidR="006E3033" w:rsidRPr="0079766D">
        <w:rPr>
          <w:rFonts w:ascii="Times New Roman" w:hAnsi="Times New Roman" w:cs="Times New Roman"/>
          <w:sz w:val="24"/>
          <w:szCs w:val="24"/>
        </w:rPr>
        <w:t xml:space="preserve"> permit condition requiring the </w:t>
      </w:r>
      <w:r w:rsidRPr="0079766D">
        <w:rPr>
          <w:rFonts w:ascii="Times New Roman" w:hAnsi="Times New Roman" w:cs="Times New Roman"/>
          <w:sz w:val="24"/>
          <w:szCs w:val="24"/>
        </w:rPr>
        <w:t>produced gas to be controlled</w:t>
      </w:r>
      <w:r w:rsidR="0079766D" w:rsidRPr="0079766D">
        <w:rPr>
          <w:rFonts w:ascii="Times New Roman" w:hAnsi="Times New Roman" w:cs="Times New Roman"/>
          <w:sz w:val="24"/>
          <w:szCs w:val="24"/>
        </w:rPr>
        <w:t xml:space="preserve"> or captured</w:t>
      </w:r>
      <w:r w:rsidRPr="0079766D">
        <w:rPr>
          <w:rFonts w:ascii="Times New Roman" w:hAnsi="Times New Roman" w:cs="Times New Roman"/>
          <w:sz w:val="24"/>
          <w:szCs w:val="24"/>
        </w:rPr>
        <w:t>.  In order to establish this federally enforceable requi</w:t>
      </w:r>
      <w:r w:rsidR="0074728A">
        <w:rPr>
          <w:rFonts w:ascii="Times New Roman" w:hAnsi="Times New Roman" w:cs="Times New Roman"/>
          <w:sz w:val="24"/>
          <w:szCs w:val="24"/>
        </w:rPr>
        <w:t>rement, the facilities must obtain</w:t>
      </w:r>
      <w:r w:rsidRPr="0079766D">
        <w:rPr>
          <w:rFonts w:ascii="Times New Roman" w:hAnsi="Times New Roman" w:cs="Times New Roman"/>
          <w:sz w:val="24"/>
          <w:szCs w:val="24"/>
        </w:rPr>
        <w:t xml:space="preserve"> an air permit to construct and/or operate as required in 11 Miss. Admin. Code Pt. 2</w:t>
      </w:r>
      <w:r w:rsidR="00AC2601" w:rsidRPr="0079766D">
        <w:rPr>
          <w:rFonts w:ascii="Times New Roman" w:hAnsi="Times New Roman" w:cs="Times New Roman"/>
          <w:sz w:val="24"/>
          <w:szCs w:val="24"/>
        </w:rPr>
        <w:t>, Ch. 2</w:t>
      </w:r>
      <w:r w:rsidRPr="0079766D">
        <w:rPr>
          <w:rFonts w:ascii="Times New Roman" w:hAnsi="Times New Roman" w:cs="Times New Roman"/>
          <w:sz w:val="24"/>
          <w:szCs w:val="24"/>
        </w:rPr>
        <w:t xml:space="preserve">. </w:t>
      </w:r>
    </w:p>
    <w:p w14:paraId="338E06FC" w14:textId="7B6ADB3C" w:rsidR="007118E8" w:rsidRPr="007118E8" w:rsidRDefault="00AC2601" w:rsidP="007118E8">
      <w:pPr>
        <w:pStyle w:val="ListParagraph"/>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state regulation, 11 Miss. Admin. </w:t>
      </w:r>
      <w:r w:rsidR="0079766D">
        <w:rPr>
          <w:rFonts w:ascii="Times New Roman" w:hAnsi="Times New Roman" w:cs="Times New Roman"/>
          <w:sz w:val="24"/>
          <w:szCs w:val="24"/>
        </w:rPr>
        <w:t>Code. Pt. 2, R.</w:t>
      </w:r>
      <w:r w:rsidR="00ED1D5D">
        <w:rPr>
          <w:rFonts w:ascii="Times New Roman" w:hAnsi="Times New Roman" w:cs="Times New Roman"/>
          <w:sz w:val="24"/>
          <w:szCs w:val="24"/>
        </w:rPr>
        <w:t>2.</w:t>
      </w:r>
      <w:r w:rsidR="0079766D">
        <w:rPr>
          <w:rFonts w:ascii="Times New Roman" w:hAnsi="Times New Roman" w:cs="Times New Roman"/>
          <w:sz w:val="24"/>
          <w:szCs w:val="24"/>
        </w:rPr>
        <w:t xml:space="preserve">11, allows </w:t>
      </w:r>
      <w:r w:rsidR="00ED1D5D">
        <w:rPr>
          <w:rFonts w:ascii="Times New Roman" w:hAnsi="Times New Roman" w:cs="Times New Roman"/>
          <w:sz w:val="24"/>
          <w:szCs w:val="24"/>
        </w:rPr>
        <w:t>g</w:t>
      </w:r>
      <w:r>
        <w:rPr>
          <w:rFonts w:ascii="Times New Roman" w:hAnsi="Times New Roman" w:cs="Times New Roman"/>
          <w:sz w:val="24"/>
          <w:szCs w:val="24"/>
        </w:rPr>
        <w:t xml:space="preserve">eneral </w:t>
      </w:r>
      <w:r w:rsidR="0079766D">
        <w:rPr>
          <w:rFonts w:ascii="Times New Roman" w:hAnsi="Times New Roman" w:cs="Times New Roman"/>
          <w:sz w:val="24"/>
          <w:szCs w:val="24"/>
        </w:rPr>
        <w:t>p</w:t>
      </w:r>
      <w:r>
        <w:rPr>
          <w:rFonts w:ascii="Times New Roman" w:hAnsi="Times New Roman" w:cs="Times New Roman"/>
          <w:sz w:val="24"/>
          <w:szCs w:val="24"/>
        </w:rPr>
        <w:t>ermits</w:t>
      </w:r>
      <w:r w:rsidR="00ED1D5D">
        <w:rPr>
          <w:rFonts w:ascii="Times New Roman" w:hAnsi="Times New Roman" w:cs="Times New Roman"/>
          <w:sz w:val="24"/>
          <w:szCs w:val="24"/>
        </w:rPr>
        <w:t xml:space="preserve"> to</w:t>
      </w:r>
      <w:r>
        <w:rPr>
          <w:rFonts w:ascii="Times New Roman" w:hAnsi="Times New Roman" w:cs="Times New Roman"/>
          <w:sz w:val="24"/>
          <w:szCs w:val="24"/>
        </w:rPr>
        <w:t xml:space="preserve"> be issued for the construction and/or op</w:t>
      </w:r>
      <w:r w:rsidR="00ED1D5D">
        <w:rPr>
          <w:rFonts w:ascii="Times New Roman" w:hAnsi="Times New Roman" w:cs="Times New Roman"/>
          <w:sz w:val="24"/>
          <w:szCs w:val="24"/>
        </w:rPr>
        <w:t xml:space="preserve">eration of a stationary source. </w:t>
      </w:r>
      <w:r>
        <w:rPr>
          <w:rFonts w:ascii="Times New Roman" w:hAnsi="Times New Roman" w:cs="Times New Roman"/>
          <w:sz w:val="24"/>
          <w:szCs w:val="24"/>
        </w:rPr>
        <w:t xml:space="preserve">Due to the </w:t>
      </w:r>
      <w:r w:rsidR="001F164D">
        <w:rPr>
          <w:rFonts w:ascii="Times New Roman" w:hAnsi="Times New Roman" w:cs="Times New Roman"/>
          <w:sz w:val="24"/>
          <w:szCs w:val="24"/>
        </w:rPr>
        <w:t xml:space="preserve">potential </w:t>
      </w:r>
      <w:r>
        <w:rPr>
          <w:rFonts w:ascii="Times New Roman" w:hAnsi="Times New Roman" w:cs="Times New Roman"/>
          <w:sz w:val="24"/>
          <w:szCs w:val="24"/>
        </w:rPr>
        <w:t xml:space="preserve">number of </w:t>
      </w:r>
      <w:r w:rsidR="0074728A">
        <w:rPr>
          <w:rFonts w:ascii="Times New Roman" w:hAnsi="Times New Roman" w:cs="Times New Roman"/>
          <w:sz w:val="24"/>
          <w:szCs w:val="24"/>
        </w:rPr>
        <w:t>oil production</w:t>
      </w:r>
      <w:r>
        <w:rPr>
          <w:rFonts w:ascii="Times New Roman" w:hAnsi="Times New Roman" w:cs="Times New Roman"/>
          <w:sz w:val="24"/>
          <w:szCs w:val="24"/>
        </w:rPr>
        <w:t xml:space="preserve"> operations in Mississippi and the </w:t>
      </w:r>
      <w:r w:rsidR="0074728A">
        <w:rPr>
          <w:rFonts w:ascii="Times New Roman" w:hAnsi="Times New Roman" w:cs="Times New Roman"/>
          <w:sz w:val="24"/>
          <w:szCs w:val="24"/>
        </w:rPr>
        <w:t>similarity of</w:t>
      </w:r>
      <w:r w:rsidR="00F936E6">
        <w:rPr>
          <w:rFonts w:ascii="Times New Roman" w:hAnsi="Times New Roman" w:cs="Times New Roman"/>
          <w:sz w:val="24"/>
          <w:szCs w:val="24"/>
        </w:rPr>
        <w:t xml:space="preserve"> the individual permits that have historically been issued, MDEQ believes that the development of an Oil Production General Permit is appropriate for these operations.  At this time, we are not proposing to include any operation primarily engaged in gas production in the general permit.</w:t>
      </w:r>
    </w:p>
    <w:p w14:paraId="05950817" w14:textId="05778D62" w:rsidR="001F164D" w:rsidRDefault="00F936E6" w:rsidP="001F164D">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sidRPr="0079766D">
        <w:rPr>
          <w:rFonts w:ascii="Times New Roman" w:hAnsi="Times New Roman" w:cs="Times New Roman"/>
          <w:sz w:val="24"/>
          <w:szCs w:val="24"/>
        </w:rPr>
        <w:t>EQUIPMENT AND PROCESSE</w:t>
      </w:r>
      <w:r w:rsidR="0079766D">
        <w:rPr>
          <w:rFonts w:ascii="Times New Roman" w:hAnsi="Times New Roman" w:cs="Times New Roman"/>
          <w:sz w:val="24"/>
          <w:szCs w:val="24"/>
        </w:rPr>
        <w:t>S</w:t>
      </w:r>
      <w:r w:rsidRPr="0079766D">
        <w:rPr>
          <w:rFonts w:ascii="Times New Roman" w:hAnsi="Times New Roman" w:cs="Times New Roman"/>
          <w:sz w:val="24"/>
          <w:szCs w:val="24"/>
        </w:rPr>
        <w:t xml:space="preserve"> TYP</w:t>
      </w:r>
      <w:r w:rsidR="001F164D">
        <w:rPr>
          <w:rFonts w:ascii="Times New Roman" w:hAnsi="Times New Roman" w:cs="Times New Roman"/>
          <w:sz w:val="24"/>
          <w:szCs w:val="24"/>
        </w:rPr>
        <w:t>ICAL OF OIL PRODUCTION OPERATION</w:t>
      </w:r>
    </w:p>
    <w:p w14:paraId="1C03AE37" w14:textId="5713C64C" w:rsidR="00EE4736" w:rsidRPr="001F164D" w:rsidRDefault="001F164D" w:rsidP="001F164D">
      <w:pPr>
        <w:pStyle w:val="ListParagraph"/>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 conventional crude oil site produces oil and gas from onsite well(s) or nearby well(s).  </w:t>
      </w:r>
      <w:r w:rsidR="00097E7D" w:rsidRPr="001F164D">
        <w:rPr>
          <w:rFonts w:ascii="Times New Roman" w:hAnsi="Times New Roman" w:cs="Times New Roman"/>
          <w:sz w:val="24"/>
          <w:szCs w:val="24"/>
        </w:rPr>
        <w:t>The gas/oil mixture enters a separator, or series of separators, where the mixture is separated.  A separator may include a gas-fired heater treater.  Following separation, oil and water are piped to onsite storage tanks and the produced gas is piped to a flare for combustion.  Gaseous emissions from the storage tanks, including working and breathing losses and flash gas</w:t>
      </w:r>
      <w:r w:rsidR="00C46F80">
        <w:rPr>
          <w:rFonts w:ascii="Times New Roman" w:hAnsi="Times New Roman" w:cs="Times New Roman"/>
          <w:sz w:val="24"/>
          <w:szCs w:val="24"/>
        </w:rPr>
        <w:t>,</w:t>
      </w:r>
      <w:r w:rsidR="00097E7D" w:rsidRPr="001F164D">
        <w:rPr>
          <w:rFonts w:ascii="Times New Roman" w:hAnsi="Times New Roman" w:cs="Times New Roman"/>
          <w:sz w:val="24"/>
          <w:szCs w:val="24"/>
        </w:rPr>
        <w:t xml:space="preserve"> </w:t>
      </w:r>
      <w:r w:rsidR="00C46F80">
        <w:rPr>
          <w:rFonts w:ascii="Times New Roman" w:hAnsi="Times New Roman" w:cs="Times New Roman"/>
          <w:sz w:val="24"/>
          <w:szCs w:val="24"/>
        </w:rPr>
        <w:t>can be</w:t>
      </w:r>
      <w:r w:rsidR="00097E7D" w:rsidRPr="001F164D">
        <w:rPr>
          <w:rFonts w:ascii="Times New Roman" w:hAnsi="Times New Roman" w:cs="Times New Roman"/>
          <w:sz w:val="24"/>
          <w:szCs w:val="24"/>
        </w:rPr>
        <w:t xml:space="preserve"> piped to the flare for combustion.   Oil is loaded from the storage tanks using tanker trucks.  Loading emissions are typically vented to the atmosphere</w:t>
      </w:r>
      <w:r w:rsidR="00C46F80">
        <w:rPr>
          <w:rFonts w:ascii="Times New Roman" w:hAnsi="Times New Roman" w:cs="Times New Roman"/>
          <w:sz w:val="24"/>
          <w:szCs w:val="24"/>
        </w:rPr>
        <w:t xml:space="preserve"> but may be routed to a flare</w:t>
      </w:r>
      <w:r w:rsidR="00097E7D" w:rsidRPr="001F164D">
        <w:rPr>
          <w:rFonts w:ascii="Times New Roman" w:hAnsi="Times New Roman" w:cs="Times New Roman"/>
          <w:sz w:val="24"/>
          <w:szCs w:val="24"/>
        </w:rPr>
        <w:t xml:space="preserve">.  Water </w:t>
      </w:r>
      <w:r w:rsidR="00097E7D" w:rsidRPr="001F164D">
        <w:rPr>
          <w:rFonts w:ascii="Times New Roman" w:hAnsi="Times New Roman" w:cs="Times New Roman"/>
          <w:sz w:val="24"/>
          <w:szCs w:val="24"/>
        </w:rPr>
        <w:lastRenderedPageBreak/>
        <w:t>may also be loaded from the storage tanks using tanker trucks or piped to a nearby injection well for disposal.    Sites may inclu</w:t>
      </w:r>
      <w:r w:rsidR="007573F2">
        <w:rPr>
          <w:rFonts w:ascii="Times New Roman" w:hAnsi="Times New Roman" w:cs="Times New Roman"/>
          <w:sz w:val="24"/>
          <w:szCs w:val="24"/>
        </w:rPr>
        <w:t>de small gas-fired line heaters;</w:t>
      </w:r>
      <w:r w:rsidR="00097E7D" w:rsidRPr="001F164D">
        <w:rPr>
          <w:rFonts w:ascii="Times New Roman" w:hAnsi="Times New Roman" w:cs="Times New Roman"/>
          <w:sz w:val="24"/>
          <w:szCs w:val="24"/>
        </w:rPr>
        <w:t xml:space="preserve"> reciprocating internal combustion engines for</w:t>
      </w:r>
      <w:r w:rsidR="007573F2">
        <w:rPr>
          <w:rFonts w:ascii="Times New Roman" w:hAnsi="Times New Roman" w:cs="Times New Roman"/>
          <w:sz w:val="24"/>
          <w:szCs w:val="24"/>
        </w:rPr>
        <w:t xml:space="preserve"> pumping, compression, or power;</w:t>
      </w:r>
      <w:r w:rsidR="00097E7D" w:rsidRPr="001F164D">
        <w:rPr>
          <w:rFonts w:ascii="Times New Roman" w:hAnsi="Times New Roman" w:cs="Times New Roman"/>
          <w:sz w:val="24"/>
          <w:szCs w:val="24"/>
        </w:rPr>
        <w:t xml:space="preserve"> as well as, small miscellaneous chemical storage vessels for well and/or engine maintenance</w:t>
      </w:r>
      <w:r w:rsidR="005E794E" w:rsidRPr="001F164D">
        <w:rPr>
          <w:rFonts w:ascii="Times New Roman" w:hAnsi="Times New Roman" w:cs="Times New Roman"/>
          <w:sz w:val="24"/>
          <w:szCs w:val="24"/>
        </w:rPr>
        <w:t>.</w:t>
      </w:r>
    </w:p>
    <w:p w14:paraId="543F35D7" w14:textId="77777777" w:rsidR="00515BF6" w:rsidRPr="0079766D" w:rsidRDefault="00F936E6" w:rsidP="007118E8">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sidRPr="00EE4736">
        <w:rPr>
          <w:rFonts w:ascii="Times New Roman" w:hAnsi="Times New Roman" w:cs="Times New Roman"/>
          <w:sz w:val="24"/>
          <w:szCs w:val="24"/>
        </w:rPr>
        <w:t>APPLICABILITY AND COVERAGE</w:t>
      </w:r>
    </w:p>
    <w:p w14:paraId="18016C59" w14:textId="77777777" w:rsidR="00EE4736" w:rsidRPr="0079766D" w:rsidRDefault="00515BF6" w:rsidP="007118E8">
      <w:pPr>
        <w:pStyle w:val="ListParagraph"/>
        <w:numPr>
          <w:ilvl w:val="1"/>
          <w:numId w:val="14"/>
        </w:numPr>
        <w:spacing w:before="120" w:after="120" w:line="360" w:lineRule="auto"/>
        <w:contextualSpacing w:val="0"/>
        <w:jc w:val="both"/>
        <w:rPr>
          <w:rFonts w:ascii="Times New Roman" w:hAnsi="Times New Roman" w:cs="Times New Roman"/>
          <w:sz w:val="24"/>
          <w:szCs w:val="24"/>
        </w:rPr>
      </w:pPr>
      <w:r w:rsidRPr="0079766D">
        <w:rPr>
          <w:rFonts w:ascii="Times New Roman" w:hAnsi="Times New Roman" w:cs="Times New Roman"/>
          <w:sz w:val="24"/>
          <w:szCs w:val="24"/>
        </w:rPr>
        <w:t xml:space="preserve">The </w:t>
      </w:r>
      <w:r w:rsidR="003906F4">
        <w:rPr>
          <w:rFonts w:ascii="Times New Roman" w:hAnsi="Times New Roman" w:cs="Times New Roman"/>
          <w:sz w:val="24"/>
          <w:szCs w:val="24"/>
        </w:rPr>
        <w:t>OPGP</w:t>
      </w:r>
      <w:r w:rsidRPr="0079766D">
        <w:rPr>
          <w:rFonts w:ascii="Times New Roman" w:hAnsi="Times New Roman" w:cs="Times New Roman"/>
          <w:sz w:val="24"/>
          <w:szCs w:val="24"/>
        </w:rPr>
        <w:t xml:space="preserve"> covers the State of Mississippi.</w:t>
      </w:r>
      <w:r w:rsidR="00F936E6" w:rsidRPr="0079766D">
        <w:rPr>
          <w:rFonts w:ascii="Times New Roman" w:hAnsi="Times New Roman" w:cs="Times New Roman"/>
          <w:sz w:val="24"/>
          <w:szCs w:val="24"/>
        </w:rPr>
        <w:t xml:space="preserve"> </w:t>
      </w:r>
    </w:p>
    <w:p w14:paraId="09A653C0" w14:textId="77777777" w:rsidR="00EE4736" w:rsidRPr="0079766D" w:rsidRDefault="00F936E6" w:rsidP="007118E8">
      <w:pPr>
        <w:pStyle w:val="ListParagraph"/>
        <w:numPr>
          <w:ilvl w:val="1"/>
          <w:numId w:val="14"/>
        </w:numPr>
        <w:spacing w:before="120" w:after="120" w:line="360" w:lineRule="auto"/>
        <w:contextualSpacing w:val="0"/>
        <w:jc w:val="both"/>
        <w:rPr>
          <w:rFonts w:ascii="Times New Roman" w:hAnsi="Times New Roman" w:cs="Times New Roman"/>
          <w:sz w:val="24"/>
          <w:szCs w:val="24"/>
        </w:rPr>
      </w:pPr>
      <w:r w:rsidRPr="0079766D">
        <w:rPr>
          <w:rFonts w:ascii="Times New Roman" w:hAnsi="Times New Roman" w:cs="Times New Roman"/>
          <w:sz w:val="24"/>
          <w:szCs w:val="24"/>
        </w:rPr>
        <w:t>This permit may cover new and existing oil producing facilities operating in the State of Mississippi which fall under SIC 1311 and have air emissions associated with the construction and operation of synthetic minor oil production facilities equipped with control devices or operated in a manner approved by MDEQ for control of air emissions.</w:t>
      </w:r>
    </w:p>
    <w:p w14:paraId="4CE78FD1" w14:textId="77777777" w:rsidR="00F936E6" w:rsidRPr="00093711" w:rsidRDefault="00F936E6" w:rsidP="007118E8">
      <w:pPr>
        <w:pStyle w:val="ListParagraph"/>
        <w:numPr>
          <w:ilvl w:val="1"/>
          <w:numId w:val="14"/>
        </w:numPr>
        <w:spacing w:before="120" w:after="120" w:line="360" w:lineRule="auto"/>
        <w:contextualSpacing w:val="0"/>
        <w:jc w:val="both"/>
        <w:rPr>
          <w:rFonts w:ascii="Times New Roman" w:hAnsi="Times New Roman" w:cs="Times New Roman"/>
          <w:sz w:val="24"/>
          <w:szCs w:val="24"/>
        </w:rPr>
      </w:pPr>
      <w:r w:rsidRPr="00093711">
        <w:rPr>
          <w:rFonts w:ascii="Times New Roman" w:hAnsi="Times New Roman" w:cs="Times New Roman"/>
          <w:sz w:val="24"/>
          <w:szCs w:val="24"/>
        </w:rPr>
        <w:t xml:space="preserve">Any oil well producing a gas stream containing hydrogen sulfide in excess of one (1) grain per 100 standard cubic feet is not eligible for this general permit.  </w:t>
      </w:r>
    </w:p>
    <w:p w14:paraId="6A851F10" w14:textId="77777777" w:rsidR="0079766D" w:rsidRDefault="00F936E6" w:rsidP="007118E8">
      <w:pPr>
        <w:pStyle w:val="Other"/>
        <w:numPr>
          <w:ilvl w:val="1"/>
          <w:numId w:val="14"/>
        </w:numPr>
        <w:spacing w:before="120" w:after="120" w:line="360" w:lineRule="auto"/>
        <w:rPr>
          <w:b w:val="0"/>
        </w:rPr>
      </w:pPr>
      <w:r w:rsidRPr="0079766D">
        <w:rPr>
          <w:b w:val="0"/>
        </w:rPr>
        <w:t xml:space="preserve">For onshore activities under Standard Industrial Classification (SIC) Major Group 13: Oil and Gas Extraction, </w:t>
      </w:r>
      <w:r w:rsidRPr="0079766D">
        <w:rPr>
          <w:b w:val="0"/>
          <w:i/>
          <w:iCs/>
        </w:rPr>
        <w:t xml:space="preserve"> a facility </w:t>
      </w:r>
      <w:r w:rsidRPr="0079766D">
        <w:rPr>
          <w:b w:val="0"/>
        </w:rPr>
        <w:t xml:space="preserve"> means, all of the pollutant-emitting activities included in Major Group 13 that are located on one or more contiguous or adjacent properties, and are under the control of the same person (or persons under common control). Pollutant emitting activities shall be considered adjacent if they are located on the same surface site; or if they are located on surface sites that are located within </w:t>
      </w:r>
      <w:r w:rsidRPr="0079766D">
        <w:rPr>
          <w:b w:val="0"/>
          <w:vertAlign w:val="superscript"/>
        </w:rPr>
        <w:t>1</w:t>
      </w:r>
      <w:r w:rsidRPr="0079766D">
        <w:rPr>
          <w:b w:val="0"/>
        </w:rPr>
        <w:t>⁄</w:t>
      </w:r>
      <w:r w:rsidRPr="0079766D">
        <w:rPr>
          <w:b w:val="0"/>
          <w:vertAlign w:val="subscript"/>
        </w:rPr>
        <w:t>4</w:t>
      </w:r>
      <w:r w:rsidRPr="0079766D">
        <w:rPr>
          <w:b w:val="0"/>
        </w:rPr>
        <w:t xml:space="preserve"> mile of one another (measured from the center of the equipment on the surface site) and they share equipment. Shared equipment includes, but is not limited to, produced fluids storage tanks, phase separators, natural gas dehydrators or emissions control devices. A surface site is any combination of one or more graded pad sites, gravel pad sites, foundations, platforms, or the immediate physical location upon which equipment is physically affixed. </w:t>
      </w:r>
    </w:p>
    <w:p w14:paraId="136BC052" w14:textId="1772BCAD" w:rsidR="000F7801" w:rsidRPr="000F7801" w:rsidRDefault="00F936E6" w:rsidP="000F7801">
      <w:pPr>
        <w:pStyle w:val="Other"/>
        <w:numPr>
          <w:ilvl w:val="1"/>
          <w:numId w:val="14"/>
        </w:numPr>
        <w:spacing w:before="120" w:after="120" w:line="360" w:lineRule="auto"/>
        <w:rPr>
          <w:b w:val="0"/>
        </w:rPr>
      </w:pPr>
      <w:r w:rsidRPr="0079766D">
        <w:rPr>
          <w:b w:val="0"/>
        </w:rPr>
        <w:t>This permit is for air p</w:t>
      </w:r>
      <w:r w:rsidR="000F7801">
        <w:rPr>
          <w:b w:val="0"/>
        </w:rPr>
        <w:t xml:space="preserve">ollution control purposes only </w:t>
      </w:r>
      <w:r w:rsidR="000F7801" w:rsidRPr="000F7801">
        <w:rPr>
          <w:b w:val="0"/>
        </w:rPr>
        <w:t xml:space="preserve">and does not address or permit the discharge of any wastewater, disposal of any solid or hazardous waste, or discharge of storm water from the site. </w:t>
      </w:r>
    </w:p>
    <w:p w14:paraId="2C79140E" w14:textId="014070AD" w:rsidR="00E66D49" w:rsidRDefault="00E66D49" w:rsidP="008A4C5F">
      <w:pPr>
        <w:pStyle w:val="Other"/>
        <w:numPr>
          <w:ilvl w:val="1"/>
          <w:numId w:val="14"/>
        </w:numPr>
        <w:spacing w:before="120" w:after="120" w:line="360" w:lineRule="auto"/>
        <w:rPr>
          <w:b w:val="0"/>
        </w:rPr>
      </w:pPr>
      <w:r>
        <w:rPr>
          <w:b w:val="0"/>
        </w:rPr>
        <w:t xml:space="preserve">Any facility </w:t>
      </w:r>
      <w:r w:rsidRPr="003906F4">
        <w:rPr>
          <w:b w:val="0"/>
        </w:rPr>
        <w:t xml:space="preserve">subject to </w:t>
      </w:r>
      <w:r w:rsidR="00E44618">
        <w:rPr>
          <w:b w:val="0"/>
        </w:rPr>
        <w:t xml:space="preserve">40 CFR 63, </w:t>
      </w:r>
      <w:r w:rsidRPr="003906F4">
        <w:rPr>
          <w:b w:val="0"/>
        </w:rPr>
        <w:t>Subpart HH – National Emission Standards for Hazardous Air Pollutants From Oil and Na</w:t>
      </w:r>
      <w:r>
        <w:rPr>
          <w:b w:val="0"/>
        </w:rPr>
        <w:t>tural Gas Production Facilities is not eligible for this general permit.</w:t>
      </w:r>
    </w:p>
    <w:p w14:paraId="6017F724" w14:textId="0565FC3E" w:rsidR="00202470" w:rsidRPr="008A4C5F" w:rsidRDefault="00202470" w:rsidP="00E1245B">
      <w:pPr>
        <w:pStyle w:val="Other"/>
        <w:numPr>
          <w:ilvl w:val="1"/>
          <w:numId w:val="14"/>
        </w:numPr>
        <w:spacing w:before="120" w:after="120" w:line="360" w:lineRule="auto"/>
        <w:rPr>
          <w:b w:val="0"/>
        </w:rPr>
      </w:pPr>
      <w:r>
        <w:rPr>
          <w:b w:val="0"/>
        </w:rPr>
        <w:t xml:space="preserve">All flares used to comply with </w:t>
      </w:r>
      <w:r w:rsidR="00E44618" w:rsidRPr="00E44618">
        <w:rPr>
          <w:b w:val="0"/>
        </w:rPr>
        <w:t>Standards of Performance for Crude Oil and Natural Gas Facilities</w:t>
      </w:r>
      <w:r w:rsidR="00E44618">
        <w:rPr>
          <w:b w:val="0"/>
        </w:rPr>
        <w:t>,</w:t>
      </w:r>
      <w:r>
        <w:rPr>
          <w:b w:val="0"/>
        </w:rPr>
        <w:t xml:space="preserve"> </w:t>
      </w:r>
      <w:r w:rsidR="0074728A">
        <w:rPr>
          <w:b w:val="0"/>
        </w:rPr>
        <w:t xml:space="preserve">Subpart </w:t>
      </w:r>
      <w:r w:rsidR="00E44618">
        <w:rPr>
          <w:b w:val="0"/>
        </w:rPr>
        <w:t>OOOOa,</w:t>
      </w:r>
      <w:r w:rsidR="0074728A">
        <w:rPr>
          <w:b w:val="0"/>
        </w:rPr>
        <w:t xml:space="preserve"> for storage vessels (or tanks)</w:t>
      </w:r>
      <w:r w:rsidR="00E44618">
        <w:rPr>
          <w:b w:val="0"/>
        </w:rPr>
        <w:t xml:space="preserve"> will be 60.18(b) compliant. For </w:t>
      </w:r>
      <w:r>
        <w:rPr>
          <w:b w:val="0"/>
        </w:rPr>
        <w:t>facilities</w:t>
      </w:r>
      <w:r w:rsidR="00E44618">
        <w:rPr>
          <w:b w:val="0"/>
        </w:rPr>
        <w:t xml:space="preserve"> not subject to</w:t>
      </w:r>
      <w:r>
        <w:rPr>
          <w:b w:val="0"/>
        </w:rPr>
        <w:t xml:space="preserve"> Subpart OOOOa that request a </w:t>
      </w:r>
      <w:r w:rsidR="00256393">
        <w:rPr>
          <w:b w:val="0"/>
        </w:rPr>
        <w:t xml:space="preserve">federally </w:t>
      </w:r>
      <w:r w:rsidR="0074728A">
        <w:rPr>
          <w:b w:val="0"/>
        </w:rPr>
        <w:t>enforceable</w:t>
      </w:r>
      <w:r>
        <w:rPr>
          <w:b w:val="0"/>
        </w:rPr>
        <w:t xml:space="preserve"> requirement to route emissions to the flare from storage </w:t>
      </w:r>
      <w:r w:rsidR="00E44618">
        <w:rPr>
          <w:b w:val="0"/>
        </w:rPr>
        <w:t>vessels, the flare will be 60.18(b) compliant except an auto-igniter system may be used in lieu of a continuous pilot flame</w:t>
      </w:r>
      <w:r>
        <w:rPr>
          <w:b w:val="0"/>
        </w:rPr>
        <w:t>.</w:t>
      </w:r>
    </w:p>
    <w:p w14:paraId="038D363E" w14:textId="77777777" w:rsidR="0079766D" w:rsidRDefault="00F936E6" w:rsidP="007118E8">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sidRPr="0079766D">
        <w:rPr>
          <w:rFonts w:ascii="Times New Roman" w:hAnsi="Times New Roman" w:cs="Times New Roman"/>
          <w:sz w:val="24"/>
          <w:szCs w:val="24"/>
        </w:rPr>
        <w:t xml:space="preserve">FEDERALLY ENFORCABLE </w:t>
      </w:r>
      <w:r w:rsidR="00BC66DC" w:rsidRPr="0079766D">
        <w:rPr>
          <w:rFonts w:ascii="Times New Roman" w:hAnsi="Times New Roman" w:cs="Times New Roman"/>
          <w:sz w:val="24"/>
          <w:szCs w:val="24"/>
        </w:rPr>
        <w:t>PERMIT LIMITATIONS</w:t>
      </w:r>
    </w:p>
    <w:p w14:paraId="5B66A630" w14:textId="42CB88F0" w:rsidR="00F936E6" w:rsidRPr="00F073D9" w:rsidRDefault="00F936E6" w:rsidP="007118E8">
      <w:pPr>
        <w:pStyle w:val="ListParagraph"/>
        <w:spacing w:before="120" w:after="120" w:line="360" w:lineRule="auto"/>
        <w:ind w:left="360"/>
        <w:contextualSpacing w:val="0"/>
        <w:jc w:val="both"/>
        <w:rPr>
          <w:rFonts w:ascii="Times New Roman" w:hAnsi="Times New Roman" w:cs="Times New Roman"/>
          <w:sz w:val="24"/>
          <w:szCs w:val="24"/>
        </w:rPr>
      </w:pPr>
      <w:r w:rsidRPr="0079766D">
        <w:rPr>
          <w:rFonts w:ascii="Times New Roman" w:hAnsi="Times New Roman" w:cs="Times New Roman"/>
          <w:sz w:val="24"/>
          <w:szCs w:val="24"/>
        </w:rPr>
        <w:t xml:space="preserve">In order to maintain emissions below Title </w:t>
      </w:r>
      <w:r w:rsidR="00C678E5">
        <w:rPr>
          <w:rFonts w:ascii="Times New Roman" w:hAnsi="Times New Roman" w:cs="Times New Roman"/>
          <w:sz w:val="24"/>
          <w:szCs w:val="24"/>
        </w:rPr>
        <w:t>V thresholds, the OPGP</w:t>
      </w:r>
      <w:r w:rsidR="0079766D">
        <w:rPr>
          <w:rFonts w:ascii="Times New Roman" w:hAnsi="Times New Roman" w:cs="Times New Roman"/>
          <w:sz w:val="24"/>
          <w:szCs w:val="24"/>
        </w:rPr>
        <w:t xml:space="preserve"> </w:t>
      </w:r>
      <w:r w:rsidR="009E251B">
        <w:rPr>
          <w:rFonts w:ascii="Times New Roman" w:hAnsi="Times New Roman" w:cs="Times New Roman"/>
          <w:sz w:val="24"/>
          <w:szCs w:val="24"/>
        </w:rPr>
        <w:t>establishes</w:t>
      </w:r>
      <w:r w:rsidR="0079766D">
        <w:rPr>
          <w:rFonts w:ascii="Times New Roman" w:hAnsi="Times New Roman" w:cs="Times New Roman"/>
          <w:sz w:val="24"/>
          <w:szCs w:val="24"/>
        </w:rPr>
        <w:t xml:space="preserve"> the following</w:t>
      </w:r>
      <w:r w:rsidR="00202470">
        <w:rPr>
          <w:rFonts w:ascii="Times New Roman" w:hAnsi="Times New Roman" w:cs="Times New Roman"/>
          <w:sz w:val="24"/>
          <w:szCs w:val="24"/>
        </w:rPr>
        <w:t xml:space="preserve"> </w:t>
      </w:r>
      <w:r w:rsidR="00256393">
        <w:rPr>
          <w:rFonts w:ascii="Times New Roman" w:hAnsi="Times New Roman" w:cs="Times New Roman"/>
          <w:sz w:val="24"/>
          <w:szCs w:val="24"/>
        </w:rPr>
        <w:t xml:space="preserve">federally </w:t>
      </w:r>
      <w:r w:rsidR="0074728A">
        <w:rPr>
          <w:rFonts w:ascii="Times New Roman" w:hAnsi="Times New Roman" w:cs="Times New Roman"/>
          <w:sz w:val="24"/>
          <w:szCs w:val="24"/>
        </w:rPr>
        <w:t>enforceable</w:t>
      </w:r>
      <w:r w:rsidRPr="0079766D">
        <w:rPr>
          <w:rFonts w:ascii="Times New Roman" w:hAnsi="Times New Roman" w:cs="Times New Roman"/>
          <w:sz w:val="24"/>
          <w:szCs w:val="24"/>
        </w:rPr>
        <w:t xml:space="preserve"> operational </w:t>
      </w:r>
      <w:r w:rsidR="00F10B30">
        <w:rPr>
          <w:rFonts w:ascii="Times New Roman" w:hAnsi="Times New Roman" w:cs="Times New Roman"/>
          <w:sz w:val="24"/>
          <w:szCs w:val="24"/>
        </w:rPr>
        <w:t xml:space="preserve">standards, </w:t>
      </w:r>
      <w:r w:rsidR="009E251B">
        <w:rPr>
          <w:rFonts w:ascii="Times New Roman" w:hAnsi="Times New Roman" w:cs="Times New Roman"/>
          <w:sz w:val="24"/>
          <w:szCs w:val="24"/>
        </w:rPr>
        <w:t xml:space="preserve">and </w:t>
      </w:r>
      <w:r w:rsidR="00F10B30">
        <w:rPr>
          <w:rFonts w:ascii="Times New Roman" w:hAnsi="Times New Roman" w:cs="Times New Roman"/>
          <w:sz w:val="24"/>
          <w:szCs w:val="24"/>
        </w:rPr>
        <w:t xml:space="preserve">monitoring and recordkeeping </w:t>
      </w:r>
      <w:r w:rsidR="0079766D" w:rsidRPr="0079766D">
        <w:rPr>
          <w:rFonts w:ascii="Times New Roman" w:hAnsi="Times New Roman" w:cs="Times New Roman"/>
          <w:sz w:val="24"/>
          <w:szCs w:val="24"/>
        </w:rPr>
        <w:t>conditions</w:t>
      </w:r>
      <w:r w:rsidR="0079766D">
        <w:rPr>
          <w:rFonts w:ascii="Times New Roman" w:hAnsi="Times New Roman" w:cs="Times New Roman"/>
          <w:sz w:val="24"/>
          <w:szCs w:val="24"/>
        </w:rPr>
        <w:t>:</w:t>
      </w:r>
    </w:p>
    <w:p w14:paraId="0C026C16" w14:textId="4733CE3A" w:rsidR="00EE4736" w:rsidRDefault="00F936E6" w:rsidP="007118E8">
      <w:pPr>
        <w:pStyle w:val="ListParagraph"/>
        <w:numPr>
          <w:ilvl w:val="0"/>
          <w:numId w:val="17"/>
        </w:numPr>
        <w:spacing w:before="120" w:after="120" w:line="360" w:lineRule="auto"/>
        <w:contextualSpacing w:val="0"/>
        <w:jc w:val="both"/>
        <w:rPr>
          <w:rFonts w:ascii="Times New Roman" w:hAnsi="Times New Roman" w:cs="Times New Roman"/>
          <w:sz w:val="24"/>
          <w:szCs w:val="24"/>
        </w:rPr>
      </w:pPr>
      <w:r w:rsidRPr="00EE4736">
        <w:rPr>
          <w:rFonts w:ascii="Times New Roman" w:hAnsi="Times New Roman" w:cs="Times New Roman"/>
          <w:sz w:val="24"/>
          <w:szCs w:val="24"/>
        </w:rPr>
        <w:t>E</w:t>
      </w:r>
      <w:r w:rsidR="00BC66DC" w:rsidRPr="00EE4736">
        <w:rPr>
          <w:rFonts w:ascii="Times New Roman" w:hAnsi="Times New Roman" w:cs="Times New Roman"/>
          <w:sz w:val="24"/>
          <w:szCs w:val="24"/>
        </w:rPr>
        <w:t>missions of each criteria pollutant, including PM</w:t>
      </w:r>
      <w:r w:rsidR="00BC66DC" w:rsidRPr="00EE4736">
        <w:rPr>
          <w:rFonts w:ascii="Times New Roman" w:hAnsi="Times New Roman" w:cs="Times New Roman"/>
          <w:sz w:val="24"/>
          <w:szCs w:val="24"/>
          <w:vertAlign w:val="subscript"/>
        </w:rPr>
        <w:t>10</w:t>
      </w:r>
      <w:r w:rsidR="00BC66DC" w:rsidRPr="00EE4736">
        <w:rPr>
          <w:rFonts w:ascii="Times New Roman" w:hAnsi="Times New Roman" w:cs="Times New Roman"/>
          <w:sz w:val="24"/>
          <w:szCs w:val="24"/>
        </w:rPr>
        <w:t>, SO</w:t>
      </w:r>
      <w:r w:rsidR="00BC66DC" w:rsidRPr="00EE4736">
        <w:rPr>
          <w:rFonts w:ascii="Times New Roman" w:hAnsi="Times New Roman" w:cs="Times New Roman"/>
          <w:sz w:val="24"/>
          <w:szCs w:val="24"/>
          <w:vertAlign w:val="subscript"/>
        </w:rPr>
        <w:t>2</w:t>
      </w:r>
      <w:r w:rsidR="00BC66DC" w:rsidRPr="00EE4736">
        <w:rPr>
          <w:rFonts w:ascii="Times New Roman" w:hAnsi="Times New Roman" w:cs="Times New Roman"/>
          <w:sz w:val="24"/>
          <w:szCs w:val="24"/>
        </w:rPr>
        <w:t>, NO</w:t>
      </w:r>
      <w:r w:rsidR="00BC66DC" w:rsidRPr="00EE4736">
        <w:rPr>
          <w:rFonts w:ascii="Times New Roman" w:hAnsi="Times New Roman" w:cs="Times New Roman"/>
          <w:sz w:val="24"/>
          <w:szCs w:val="24"/>
          <w:vertAlign w:val="subscript"/>
        </w:rPr>
        <w:t>X</w:t>
      </w:r>
      <w:r w:rsidR="00BC66DC" w:rsidRPr="00EE4736">
        <w:rPr>
          <w:rFonts w:ascii="Times New Roman" w:hAnsi="Times New Roman" w:cs="Times New Roman"/>
          <w:sz w:val="24"/>
          <w:szCs w:val="24"/>
        </w:rPr>
        <w:t>, CO, and VOC</w:t>
      </w:r>
      <w:r w:rsidR="000F173F">
        <w:rPr>
          <w:rFonts w:ascii="Times New Roman" w:hAnsi="Times New Roman" w:cs="Times New Roman"/>
          <w:sz w:val="24"/>
          <w:szCs w:val="24"/>
        </w:rPr>
        <w:t>,</w:t>
      </w:r>
      <w:r w:rsidR="00BC66DC" w:rsidRPr="00EE4736">
        <w:rPr>
          <w:rFonts w:ascii="Times New Roman" w:hAnsi="Times New Roman" w:cs="Times New Roman"/>
          <w:sz w:val="24"/>
          <w:szCs w:val="24"/>
        </w:rPr>
        <w:t xml:space="preserve"> shall be limited to </w:t>
      </w:r>
      <w:r w:rsidR="00662D63" w:rsidRPr="00EE4736">
        <w:rPr>
          <w:rFonts w:ascii="Times New Roman" w:hAnsi="Times New Roman" w:cs="Times New Roman"/>
          <w:sz w:val="24"/>
          <w:szCs w:val="24"/>
        </w:rPr>
        <w:t>95</w:t>
      </w:r>
      <w:r w:rsidR="000F173F">
        <w:rPr>
          <w:rFonts w:ascii="Times New Roman" w:hAnsi="Times New Roman" w:cs="Times New Roman"/>
          <w:sz w:val="24"/>
          <w:szCs w:val="24"/>
        </w:rPr>
        <w:t>.0</w:t>
      </w:r>
      <w:r w:rsidR="0079766D">
        <w:rPr>
          <w:rFonts w:ascii="Times New Roman" w:hAnsi="Times New Roman" w:cs="Times New Roman"/>
          <w:sz w:val="24"/>
          <w:szCs w:val="24"/>
        </w:rPr>
        <w:t xml:space="preserve"> tons per year (tpy).</w:t>
      </w:r>
    </w:p>
    <w:p w14:paraId="07DE799A" w14:textId="77777777" w:rsidR="000F7801" w:rsidRPr="000F7801" w:rsidRDefault="009B5D82" w:rsidP="000F7801">
      <w:pPr>
        <w:pStyle w:val="ListParagraph"/>
        <w:numPr>
          <w:ilvl w:val="0"/>
          <w:numId w:val="17"/>
        </w:numPr>
        <w:spacing w:before="120" w:after="120" w:line="360" w:lineRule="auto"/>
        <w:contextualSpacing w:val="0"/>
        <w:jc w:val="both"/>
        <w:rPr>
          <w:rFonts w:ascii="Times New Roman" w:hAnsi="Times New Roman" w:cs="Times New Roman"/>
          <w:sz w:val="24"/>
          <w:szCs w:val="24"/>
        </w:rPr>
      </w:pPr>
      <w:r w:rsidRPr="000F7801">
        <w:rPr>
          <w:rFonts w:ascii="Times New Roman" w:hAnsi="Times New Roman" w:cs="Times New Roman"/>
          <w:sz w:val="24"/>
          <w:szCs w:val="24"/>
        </w:rPr>
        <w:t xml:space="preserve">Monitor and record </w:t>
      </w:r>
      <w:r w:rsidR="000F173F" w:rsidRPr="000F7801">
        <w:rPr>
          <w:rFonts w:ascii="Times New Roman" w:hAnsi="Times New Roman" w:cs="Times New Roman"/>
          <w:sz w:val="24"/>
          <w:szCs w:val="24"/>
        </w:rPr>
        <w:t xml:space="preserve">monthly emissions of </w:t>
      </w:r>
      <w:r w:rsidRPr="000F7801">
        <w:rPr>
          <w:rFonts w:ascii="Times New Roman" w:hAnsi="Times New Roman" w:cs="Times New Roman"/>
          <w:sz w:val="24"/>
          <w:szCs w:val="24"/>
        </w:rPr>
        <w:t>PM</w:t>
      </w:r>
      <w:r w:rsidRPr="000F7801">
        <w:rPr>
          <w:rFonts w:ascii="Times New Roman" w:hAnsi="Times New Roman" w:cs="Times New Roman"/>
          <w:sz w:val="24"/>
          <w:szCs w:val="24"/>
          <w:vertAlign w:val="subscript"/>
        </w:rPr>
        <w:t>10</w:t>
      </w:r>
      <w:r w:rsidRPr="000F7801">
        <w:rPr>
          <w:rFonts w:ascii="Times New Roman" w:hAnsi="Times New Roman" w:cs="Times New Roman"/>
          <w:sz w:val="24"/>
          <w:szCs w:val="24"/>
        </w:rPr>
        <w:t>, SO</w:t>
      </w:r>
      <w:r w:rsidRPr="000F7801">
        <w:rPr>
          <w:rFonts w:ascii="Times New Roman" w:hAnsi="Times New Roman" w:cs="Times New Roman"/>
          <w:sz w:val="24"/>
          <w:szCs w:val="24"/>
          <w:vertAlign w:val="subscript"/>
        </w:rPr>
        <w:t>2</w:t>
      </w:r>
      <w:r w:rsidRPr="000F7801">
        <w:rPr>
          <w:rFonts w:ascii="Times New Roman" w:hAnsi="Times New Roman" w:cs="Times New Roman"/>
          <w:sz w:val="24"/>
          <w:szCs w:val="24"/>
        </w:rPr>
        <w:t>, NO</w:t>
      </w:r>
      <w:r w:rsidRPr="000F7801">
        <w:rPr>
          <w:rFonts w:ascii="Times New Roman" w:hAnsi="Times New Roman" w:cs="Times New Roman"/>
          <w:sz w:val="24"/>
          <w:szCs w:val="24"/>
          <w:vertAlign w:val="subscript"/>
        </w:rPr>
        <w:t>x</w:t>
      </w:r>
      <w:r w:rsidRPr="000F7801">
        <w:rPr>
          <w:rFonts w:ascii="Times New Roman" w:hAnsi="Times New Roman" w:cs="Times New Roman"/>
          <w:sz w:val="24"/>
          <w:szCs w:val="24"/>
        </w:rPr>
        <w:t xml:space="preserve">, CO, </w:t>
      </w:r>
      <w:r w:rsidR="00654579" w:rsidRPr="000F7801">
        <w:rPr>
          <w:rFonts w:ascii="Times New Roman" w:hAnsi="Times New Roman" w:cs="Times New Roman"/>
          <w:sz w:val="24"/>
          <w:szCs w:val="24"/>
        </w:rPr>
        <w:t xml:space="preserve">and </w:t>
      </w:r>
      <w:r w:rsidR="000F173F" w:rsidRPr="000F7801">
        <w:rPr>
          <w:rFonts w:ascii="Times New Roman" w:hAnsi="Times New Roman" w:cs="Times New Roman"/>
          <w:sz w:val="24"/>
          <w:szCs w:val="24"/>
        </w:rPr>
        <w:t xml:space="preserve">VOC </w:t>
      </w:r>
      <w:r w:rsidRPr="000F7801">
        <w:rPr>
          <w:rFonts w:ascii="Times New Roman" w:hAnsi="Times New Roman" w:cs="Times New Roman"/>
          <w:sz w:val="24"/>
          <w:szCs w:val="24"/>
        </w:rPr>
        <w:t>in tons</w:t>
      </w:r>
      <w:r w:rsidR="000F173F" w:rsidRPr="000F7801">
        <w:rPr>
          <w:rFonts w:ascii="Times New Roman" w:hAnsi="Times New Roman" w:cs="Times New Roman"/>
          <w:sz w:val="24"/>
          <w:szCs w:val="24"/>
        </w:rPr>
        <w:t xml:space="preserve"> on a 12-month rolling basis</w:t>
      </w:r>
      <w:r w:rsidRPr="000F7801">
        <w:rPr>
          <w:rFonts w:ascii="Times New Roman" w:hAnsi="Times New Roman" w:cs="Times New Roman"/>
          <w:sz w:val="24"/>
          <w:szCs w:val="24"/>
        </w:rPr>
        <w:t>.</w:t>
      </w:r>
      <w:r w:rsidR="002A0532" w:rsidRPr="000F7801">
        <w:rPr>
          <w:rFonts w:ascii="Times New Roman" w:hAnsi="Times New Roman" w:cs="Times New Roman"/>
          <w:sz w:val="24"/>
          <w:szCs w:val="24"/>
        </w:rPr>
        <w:t xml:space="preserve"> Emissions </w:t>
      </w:r>
      <w:r w:rsidR="00F61F92" w:rsidRPr="000F7801">
        <w:rPr>
          <w:rFonts w:ascii="Times New Roman" w:hAnsi="Times New Roman" w:cs="Times New Roman"/>
          <w:sz w:val="24"/>
          <w:szCs w:val="24"/>
        </w:rPr>
        <w:t xml:space="preserve">shall be calculated utilizing gas flow measurement, gas analysis, and any other relevant </w:t>
      </w:r>
      <w:r w:rsidR="000F7801" w:rsidRPr="000F7801">
        <w:rPr>
          <w:rFonts w:ascii="Times New Roman" w:hAnsi="Times New Roman" w:cs="Times New Roman"/>
          <w:sz w:val="24"/>
          <w:szCs w:val="24"/>
        </w:rPr>
        <w:t>information, including type and quantity of fuel combusted in on-site equipment.</w:t>
      </w:r>
    </w:p>
    <w:p w14:paraId="1D98E32E" w14:textId="43895DC0" w:rsidR="00EE4736" w:rsidRPr="000F7801" w:rsidRDefault="00393136" w:rsidP="00D15FE1">
      <w:pPr>
        <w:pStyle w:val="ListParagraph"/>
        <w:numPr>
          <w:ilvl w:val="0"/>
          <w:numId w:val="17"/>
        </w:numPr>
        <w:spacing w:before="120" w:after="120" w:line="360" w:lineRule="auto"/>
        <w:contextualSpacing w:val="0"/>
        <w:jc w:val="both"/>
        <w:rPr>
          <w:rFonts w:ascii="Times New Roman" w:hAnsi="Times New Roman" w:cs="Times New Roman"/>
          <w:sz w:val="24"/>
          <w:szCs w:val="24"/>
        </w:rPr>
      </w:pPr>
      <w:r w:rsidRPr="000F7801">
        <w:rPr>
          <w:rFonts w:ascii="Times New Roman" w:hAnsi="Times New Roman" w:cs="Times New Roman"/>
          <w:sz w:val="24"/>
          <w:szCs w:val="24"/>
        </w:rPr>
        <w:t xml:space="preserve">Emissions of </w:t>
      </w:r>
      <w:r w:rsidR="00BC66DC" w:rsidRPr="000F7801">
        <w:rPr>
          <w:rFonts w:ascii="Times New Roman" w:hAnsi="Times New Roman" w:cs="Times New Roman"/>
          <w:sz w:val="24"/>
          <w:szCs w:val="24"/>
        </w:rPr>
        <w:t>total hazardous air pollutants (HAPs) from each facility shall be limited to 24 tpy, with each individual HAP limited to 9.</w:t>
      </w:r>
      <w:r w:rsidR="00662D63" w:rsidRPr="000F7801">
        <w:rPr>
          <w:rFonts w:ascii="Times New Roman" w:hAnsi="Times New Roman" w:cs="Times New Roman"/>
          <w:sz w:val="24"/>
          <w:szCs w:val="24"/>
        </w:rPr>
        <w:t>5</w:t>
      </w:r>
      <w:r w:rsidR="00BC66DC" w:rsidRPr="000F7801">
        <w:rPr>
          <w:rFonts w:ascii="Times New Roman" w:hAnsi="Times New Roman" w:cs="Times New Roman"/>
          <w:sz w:val="24"/>
          <w:szCs w:val="24"/>
        </w:rPr>
        <w:t xml:space="preserve"> tpy.</w:t>
      </w:r>
    </w:p>
    <w:p w14:paraId="0D5014E2" w14:textId="09A9F5F7" w:rsidR="00654579" w:rsidRPr="00F61F92" w:rsidRDefault="00654579" w:rsidP="007118E8">
      <w:pPr>
        <w:pStyle w:val="ListParagraph"/>
        <w:numPr>
          <w:ilvl w:val="1"/>
          <w:numId w:val="17"/>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 and record </w:t>
      </w:r>
      <w:r w:rsidR="002A0532">
        <w:rPr>
          <w:rFonts w:ascii="Times New Roman" w:hAnsi="Times New Roman" w:cs="Times New Roman"/>
          <w:sz w:val="24"/>
          <w:szCs w:val="24"/>
        </w:rPr>
        <w:t>monthly emissions of</w:t>
      </w:r>
      <w:r>
        <w:rPr>
          <w:rFonts w:ascii="Times New Roman" w:hAnsi="Times New Roman" w:cs="Times New Roman"/>
          <w:sz w:val="24"/>
          <w:szCs w:val="24"/>
        </w:rPr>
        <w:t xml:space="preserve"> </w:t>
      </w:r>
      <w:r w:rsidR="002A0532">
        <w:rPr>
          <w:rFonts w:ascii="Times New Roman" w:hAnsi="Times New Roman" w:cs="Times New Roman"/>
          <w:sz w:val="24"/>
          <w:szCs w:val="24"/>
        </w:rPr>
        <w:t xml:space="preserve">total </w:t>
      </w:r>
      <w:r>
        <w:rPr>
          <w:rFonts w:ascii="Times New Roman" w:hAnsi="Times New Roman" w:cs="Times New Roman"/>
          <w:sz w:val="24"/>
          <w:szCs w:val="24"/>
        </w:rPr>
        <w:t>HA</w:t>
      </w:r>
      <w:r w:rsidR="002A0532">
        <w:rPr>
          <w:rFonts w:ascii="Times New Roman" w:hAnsi="Times New Roman" w:cs="Times New Roman"/>
          <w:sz w:val="24"/>
          <w:szCs w:val="24"/>
        </w:rPr>
        <w:t>Ps and individual HAP emissions</w:t>
      </w:r>
      <w:r>
        <w:rPr>
          <w:rFonts w:ascii="Times New Roman" w:hAnsi="Times New Roman" w:cs="Times New Roman"/>
          <w:sz w:val="24"/>
          <w:szCs w:val="24"/>
        </w:rPr>
        <w:t xml:space="preserve"> in tons</w:t>
      </w:r>
      <w:r w:rsidR="002A0532">
        <w:rPr>
          <w:rFonts w:ascii="Times New Roman" w:hAnsi="Times New Roman" w:cs="Times New Roman"/>
          <w:sz w:val="24"/>
          <w:szCs w:val="24"/>
        </w:rPr>
        <w:t xml:space="preserve"> on a 12-month rolling basis</w:t>
      </w:r>
      <w:r>
        <w:rPr>
          <w:rFonts w:ascii="Times New Roman" w:hAnsi="Times New Roman" w:cs="Times New Roman"/>
          <w:sz w:val="24"/>
          <w:szCs w:val="24"/>
        </w:rPr>
        <w:t>.</w:t>
      </w:r>
      <w:r w:rsidR="002A0532">
        <w:rPr>
          <w:rFonts w:ascii="Times New Roman" w:hAnsi="Times New Roman" w:cs="Times New Roman"/>
          <w:sz w:val="24"/>
          <w:szCs w:val="24"/>
        </w:rPr>
        <w:t xml:space="preserve"> Emissions </w:t>
      </w:r>
      <w:r w:rsidR="00F61F92" w:rsidRPr="00F61F92">
        <w:rPr>
          <w:rFonts w:ascii="Times New Roman" w:hAnsi="Times New Roman" w:cs="Times New Roman"/>
          <w:sz w:val="24"/>
          <w:szCs w:val="24"/>
        </w:rPr>
        <w:t>shall be calculated utilizing gas flow measurement, gas analysis, and any other relevant information.</w:t>
      </w:r>
    </w:p>
    <w:p w14:paraId="543DEC48" w14:textId="77777777" w:rsidR="00EE4736" w:rsidRDefault="00393136" w:rsidP="007118E8">
      <w:pPr>
        <w:pStyle w:val="ListParagraph"/>
        <w:numPr>
          <w:ilvl w:val="0"/>
          <w:numId w:val="17"/>
        </w:numPr>
        <w:spacing w:before="120" w:after="120" w:line="360" w:lineRule="auto"/>
        <w:contextualSpacing w:val="0"/>
        <w:jc w:val="both"/>
        <w:rPr>
          <w:rFonts w:ascii="Times New Roman" w:hAnsi="Times New Roman" w:cs="Times New Roman"/>
          <w:sz w:val="24"/>
          <w:szCs w:val="24"/>
        </w:rPr>
      </w:pPr>
      <w:r w:rsidRPr="00EE4736">
        <w:rPr>
          <w:rFonts w:ascii="Times New Roman" w:hAnsi="Times New Roman" w:cs="Times New Roman"/>
          <w:sz w:val="24"/>
          <w:szCs w:val="24"/>
        </w:rPr>
        <w:t>Combust only produced gas, propane, natural gas, and diesel in fuel burning units</w:t>
      </w:r>
      <w:r w:rsidR="0079766D">
        <w:rPr>
          <w:rFonts w:ascii="Times New Roman" w:hAnsi="Times New Roman" w:cs="Times New Roman"/>
          <w:sz w:val="24"/>
          <w:szCs w:val="24"/>
        </w:rPr>
        <w:t>.</w:t>
      </w:r>
    </w:p>
    <w:p w14:paraId="669E5940" w14:textId="77777777" w:rsidR="00B14BEB" w:rsidRDefault="00B14BEB" w:rsidP="007118E8">
      <w:pPr>
        <w:pStyle w:val="ListParagraph"/>
        <w:numPr>
          <w:ilvl w:val="1"/>
          <w:numId w:val="17"/>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Record the type and quantity of each fuel used in each stationary combustion source.</w:t>
      </w:r>
    </w:p>
    <w:p w14:paraId="63D2D6F2" w14:textId="668CCC88" w:rsidR="00B14BEB" w:rsidRPr="00765347" w:rsidRDefault="00393136" w:rsidP="007118E8">
      <w:pPr>
        <w:pStyle w:val="ListParagraph"/>
        <w:numPr>
          <w:ilvl w:val="0"/>
          <w:numId w:val="17"/>
        </w:numPr>
        <w:spacing w:before="120" w:after="120" w:line="360" w:lineRule="auto"/>
        <w:contextualSpacing w:val="0"/>
        <w:jc w:val="both"/>
        <w:rPr>
          <w:rFonts w:ascii="Times New Roman" w:hAnsi="Times New Roman" w:cs="Times New Roman"/>
          <w:sz w:val="24"/>
          <w:szCs w:val="24"/>
        </w:rPr>
      </w:pPr>
      <w:r w:rsidRPr="00EE4736">
        <w:rPr>
          <w:rFonts w:ascii="Times New Roman" w:hAnsi="Times New Roman" w:cs="Times New Roman"/>
          <w:sz w:val="24"/>
          <w:szCs w:val="24"/>
        </w:rPr>
        <w:t>Route all produced gas to the control flare</w:t>
      </w:r>
      <w:r w:rsidR="0079766D">
        <w:rPr>
          <w:rFonts w:ascii="Times New Roman" w:hAnsi="Times New Roman" w:cs="Times New Roman"/>
          <w:sz w:val="24"/>
          <w:szCs w:val="24"/>
        </w:rPr>
        <w:t>.</w:t>
      </w:r>
    </w:p>
    <w:p w14:paraId="2A8CF4EE" w14:textId="6D5F28C1" w:rsidR="00765347" w:rsidRDefault="00765347" w:rsidP="007118E8">
      <w:pPr>
        <w:pStyle w:val="ListParagraph"/>
        <w:numPr>
          <w:ilvl w:val="1"/>
          <w:numId w:val="17"/>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 and record the cubic feet of gas produced on a </w:t>
      </w:r>
      <w:r w:rsidR="00097E7D">
        <w:rPr>
          <w:rFonts w:ascii="Times New Roman" w:hAnsi="Times New Roman" w:cs="Times New Roman"/>
          <w:sz w:val="24"/>
          <w:szCs w:val="24"/>
        </w:rPr>
        <w:t>monthly</w:t>
      </w:r>
      <w:r>
        <w:rPr>
          <w:rFonts w:ascii="Times New Roman" w:hAnsi="Times New Roman" w:cs="Times New Roman"/>
          <w:sz w:val="24"/>
          <w:szCs w:val="24"/>
        </w:rPr>
        <w:t xml:space="preserve"> basis</w:t>
      </w:r>
      <w:r w:rsidR="002A0532">
        <w:rPr>
          <w:rFonts w:ascii="Times New Roman" w:hAnsi="Times New Roman" w:cs="Times New Roman"/>
          <w:sz w:val="24"/>
          <w:szCs w:val="24"/>
        </w:rPr>
        <w:t>.</w:t>
      </w:r>
    </w:p>
    <w:p w14:paraId="7C9D2154" w14:textId="7BAABCBF" w:rsidR="00393136" w:rsidRPr="007118E8" w:rsidRDefault="00765347" w:rsidP="007118E8">
      <w:pPr>
        <w:pStyle w:val="ListParagraph"/>
        <w:numPr>
          <w:ilvl w:val="1"/>
          <w:numId w:val="17"/>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Monitor and record the</w:t>
      </w:r>
      <w:r w:rsidR="00ED1D5D">
        <w:rPr>
          <w:rFonts w:ascii="Times New Roman" w:hAnsi="Times New Roman" w:cs="Times New Roman"/>
          <w:sz w:val="24"/>
          <w:szCs w:val="24"/>
        </w:rPr>
        <w:t xml:space="preserve"> cubic feet of gas flared on a </w:t>
      </w:r>
      <w:r w:rsidR="00097E7D">
        <w:rPr>
          <w:rFonts w:ascii="Times New Roman" w:hAnsi="Times New Roman" w:cs="Times New Roman"/>
          <w:sz w:val="24"/>
          <w:szCs w:val="24"/>
        </w:rPr>
        <w:t>monthly</w:t>
      </w:r>
      <w:r>
        <w:rPr>
          <w:rFonts w:ascii="Times New Roman" w:hAnsi="Times New Roman" w:cs="Times New Roman"/>
          <w:sz w:val="24"/>
          <w:szCs w:val="24"/>
        </w:rPr>
        <w:t xml:space="preserve"> basis.</w:t>
      </w:r>
    </w:p>
    <w:p w14:paraId="33148FAC" w14:textId="100ABB29" w:rsidR="007118E8" w:rsidRDefault="00C678E5" w:rsidP="008A4C5F">
      <w:pPr>
        <w:spacing w:before="120" w:after="12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flare required by the OPGP will be allowed to use a </w:t>
      </w:r>
      <w:r w:rsidR="002A0532">
        <w:rPr>
          <w:rFonts w:ascii="Times New Roman" w:hAnsi="Times New Roman" w:cs="Times New Roman"/>
          <w:sz w:val="24"/>
          <w:szCs w:val="24"/>
        </w:rPr>
        <w:t xml:space="preserve">maximum </w:t>
      </w:r>
      <w:r>
        <w:rPr>
          <w:rFonts w:ascii="Times New Roman" w:hAnsi="Times New Roman" w:cs="Times New Roman"/>
          <w:sz w:val="24"/>
          <w:szCs w:val="24"/>
        </w:rPr>
        <w:t>destruction efficiency of 98% based on the coverage recipient installing and operating</w:t>
      </w:r>
      <w:r w:rsidR="000F7801">
        <w:rPr>
          <w:rFonts w:ascii="Times New Roman" w:hAnsi="Times New Roman" w:cs="Times New Roman"/>
          <w:sz w:val="24"/>
          <w:szCs w:val="24"/>
        </w:rPr>
        <w:t xml:space="preserve"> the flare</w:t>
      </w:r>
      <w:r>
        <w:rPr>
          <w:rFonts w:ascii="Times New Roman" w:hAnsi="Times New Roman" w:cs="Times New Roman"/>
          <w:sz w:val="24"/>
          <w:szCs w:val="24"/>
        </w:rPr>
        <w:t xml:space="preserve"> in accordance with the Section 3 requirements. </w:t>
      </w:r>
      <w:r w:rsidR="004C6C02">
        <w:rPr>
          <w:rFonts w:ascii="Times New Roman" w:hAnsi="Times New Roman" w:cs="Times New Roman"/>
          <w:sz w:val="24"/>
          <w:szCs w:val="24"/>
        </w:rPr>
        <w:t>The OPGP</w:t>
      </w:r>
      <w:r w:rsidR="00B14BEB">
        <w:rPr>
          <w:rFonts w:ascii="Times New Roman" w:hAnsi="Times New Roman" w:cs="Times New Roman"/>
          <w:sz w:val="24"/>
          <w:szCs w:val="24"/>
        </w:rPr>
        <w:t xml:space="preserve"> </w:t>
      </w:r>
      <w:r w:rsidR="002A0532">
        <w:rPr>
          <w:rFonts w:ascii="Times New Roman" w:hAnsi="Times New Roman" w:cs="Times New Roman"/>
          <w:sz w:val="24"/>
          <w:szCs w:val="24"/>
        </w:rPr>
        <w:t>contains</w:t>
      </w:r>
      <w:r w:rsidR="00393136">
        <w:rPr>
          <w:rFonts w:ascii="Times New Roman" w:hAnsi="Times New Roman" w:cs="Times New Roman"/>
          <w:sz w:val="24"/>
          <w:szCs w:val="24"/>
        </w:rPr>
        <w:t xml:space="preserve"> monitoring, recordkeeping and reporting requirement</w:t>
      </w:r>
      <w:r w:rsidR="00393136" w:rsidRPr="00B6091E">
        <w:rPr>
          <w:rFonts w:ascii="Times New Roman" w:hAnsi="Times New Roman" w:cs="Times New Roman"/>
          <w:sz w:val="24"/>
          <w:szCs w:val="24"/>
        </w:rPr>
        <w:t>s necessary to demonstrate compliance</w:t>
      </w:r>
      <w:r w:rsidR="00B14BEB">
        <w:rPr>
          <w:rFonts w:ascii="Times New Roman" w:hAnsi="Times New Roman" w:cs="Times New Roman"/>
          <w:sz w:val="24"/>
          <w:szCs w:val="24"/>
        </w:rPr>
        <w:t xml:space="preserve"> with the</w:t>
      </w:r>
      <w:r w:rsidR="00393136">
        <w:rPr>
          <w:rFonts w:ascii="Times New Roman" w:hAnsi="Times New Roman" w:cs="Times New Roman"/>
          <w:sz w:val="24"/>
          <w:szCs w:val="24"/>
        </w:rPr>
        <w:t xml:space="preserve"> </w:t>
      </w:r>
      <w:r w:rsidR="00B14BEB">
        <w:rPr>
          <w:rFonts w:ascii="Times New Roman" w:hAnsi="Times New Roman" w:cs="Times New Roman"/>
          <w:sz w:val="24"/>
          <w:szCs w:val="24"/>
        </w:rPr>
        <w:t>flare</w:t>
      </w:r>
      <w:r w:rsidR="004C6C02">
        <w:rPr>
          <w:rFonts w:ascii="Times New Roman" w:hAnsi="Times New Roman" w:cs="Times New Roman"/>
          <w:sz w:val="24"/>
          <w:szCs w:val="24"/>
        </w:rPr>
        <w:t xml:space="preserve"> requirements</w:t>
      </w:r>
      <w:r w:rsidR="00393136">
        <w:rPr>
          <w:rFonts w:ascii="Times New Roman" w:hAnsi="Times New Roman" w:cs="Times New Roman"/>
          <w:sz w:val="24"/>
          <w:szCs w:val="24"/>
        </w:rPr>
        <w:t>.  These conditions can be found i</w:t>
      </w:r>
      <w:r w:rsidR="004C6C02">
        <w:rPr>
          <w:rFonts w:ascii="Times New Roman" w:hAnsi="Times New Roman" w:cs="Times New Roman"/>
          <w:sz w:val="24"/>
          <w:szCs w:val="24"/>
        </w:rPr>
        <w:t>n Sections 5 and 6 of the OPGP</w:t>
      </w:r>
      <w:r w:rsidR="00393136">
        <w:rPr>
          <w:rFonts w:ascii="Times New Roman" w:hAnsi="Times New Roman" w:cs="Times New Roman"/>
          <w:sz w:val="24"/>
          <w:szCs w:val="24"/>
        </w:rPr>
        <w:t>.</w:t>
      </w:r>
    </w:p>
    <w:p w14:paraId="5AD968C8" w14:textId="77777777" w:rsidR="00291E23" w:rsidRDefault="00291E23" w:rsidP="00291E23">
      <w:pPr>
        <w:pStyle w:val="ListParagraph"/>
        <w:numPr>
          <w:ilvl w:val="0"/>
          <w:numId w:val="17"/>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Route e</w:t>
      </w:r>
      <w:r w:rsidRPr="00EE4736">
        <w:rPr>
          <w:rFonts w:ascii="Times New Roman" w:hAnsi="Times New Roman" w:cs="Times New Roman"/>
          <w:sz w:val="24"/>
          <w:szCs w:val="24"/>
        </w:rPr>
        <w:t>missions</w:t>
      </w:r>
      <w:r>
        <w:rPr>
          <w:rFonts w:ascii="Times New Roman" w:hAnsi="Times New Roman" w:cs="Times New Roman"/>
          <w:sz w:val="24"/>
          <w:szCs w:val="24"/>
        </w:rPr>
        <w:t xml:space="preserve"> </w:t>
      </w:r>
      <w:r w:rsidRPr="00EE4736">
        <w:rPr>
          <w:rFonts w:ascii="Times New Roman" w:hAnsi="Times New Roman" w:cs="Times New Roman"/>
          <w:sz w:val="24"/>
          <w:szCs w:val="24"/>
        </w:rPr>
        <w:t>from</w:t>
      </w:r>
      <w:r>
        <w:rPr>
          <w:rFonts w:ascii="Times New Roman" w:hAnsi="Times New Roman" w:cs="Times New Roman"/>
          <w:sz w:val="24"/>
          <w:szCs w:val="24"/>
        </w:rPr>
        <w:t xml:space="preserve"> the</w:t>
      </w:r>
      <w:r w:rsidRPr="00EE4736">
        <w:rPr>
          <w:rFonts w:ascii="Times New Roman" w:hAnsi="Times New Roman" w:cs="Times New Roman"/>
          <w:sz w:val="24"/>
          <w:szCs w:val="24"/>
        </w:rPr>
        <w:t xml:space="preserve"> crude oil storage vessels</w:t>
      </w:r>
      <w:r>
        <w:rPr>
          <w:rFonts w:ascii="Times New Roman" w:hAnsi="Times New Roman" w:cs="Times New Roman"/>
          <w:sz w:val="24"/>
          <w:szCs w:val="24"/>
        </w:rPr>
        <w:t xml:space="preserve"> and </w:t>
      </w:r>
      <w:r w:rsidRPr="00EE4736">
        <w:rPr>
          <w:rFonts w:ascii="Times New Roman" w:hAnsi="Times New Roman" w:cs="Times New Roman"/>
          <w:sz w:val="24"/>
          <w:szCs w:val="24"/>
        </w:rPr>
        <w:t>condensate storage vessels to the control flare</w:t>
      </w:r>
      <w:bookmarkStart w:id="0" w:name="_GoBack"/>
      <w:bookmarkEnd w:id="0"/>
      <w:r>
        <w:rPr>
          <w:rFonts w:ascii="Times New Roman" w:hAnsi="Times New Roman" w:cs="Times New Roman"/>
          <w:sz w:val="24"/>
          <w:szCs w:val="24"/>
        </w:rPr>
        <w:t>.</w:t>
      </w:r>
    </w:p>
    <w:p w14:paraId="6195A31C" w14:textId="77777777" w:rsidR="00291E23" w:rsidRDefault="00291E23" w:rsidP="00291E23">
      <w:pPr>
        <w:pStyle w:val="ListParagraph"/>
        <w:numPr>
          <w:ilvl w:val="0"/>
          <w:numId w:val="20"/>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Request a federally enforceable control requirement for the tanks.</w:t>
      </w:r>
    </w:p>
    <w:p w14:paraId="449F5CF0" w14:textId="77777777" w:rsidR="00291E23" w:rsidRPr="007118E8" w:rsidRDefault="00291E23" w:rsidP="00291E23">
      <w:pPr>
        <w:pStyle w:val="ListParagraph"/>
        <w:numPr>
          <w:ilvl w:val="1"/>
          <w:numId w:val="17"/>
        </w:numPr>
        <w:spacing w:before="120" w:after="120" w:line="36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Monitor and record the cubic feet of gas flared on a monthly basis.</w:t>
      </w:r>
    </w:p>
    <w:p w14:paraId="30BD2F04" w14:textId="77777777" w:rsidR="00291E23" w:rsidRDefault="00291E23" w:rsidP="00291E23">
      <w:pPr>
        <w:spacing w:before="120" w:after="120" w:line="360" w:lineRule="auto"/>
        <w:ind w:left="720"/>
        <w:jc w:val="both"/>
        <w:rPr>
          <w:rFonts w:ascii="Times New Roman" w:hAnsi="Times New Roman" w:cs="Times New Roman"/>
          <w:sz w:val="24"/>
          <w:szCs w:val="24"/>
        </w:rPr>
      </w:pPr>
      <w:r w:rsidRPr="007C33F6">
        <w:rPr>
          <w:rFonts w:ascii="Times New Roman" w:hAnsi="Times New Roman" w:cs="Times New Roman"/>
          <w:sz w:val="24"/>
          <w:szCs w:val="24"/>
        </w:rPr>
        <w:t>For any tank subject to Subpart OOOOa, the permittee shall only use a continuous flare pilot flame in accordance with Subpart OOOOa.</w:t>
      </w:r>
      <w:r>
        <w:rPr>
          <w:rFonts w:ascii="Times New Roman" w:hAnsi="Times New Roman" w:cs="Times New Roman"/>
          <w:sz w:val="24"/>
          <w:szCs w:val="24"/>
        </w:rPr>
        <w:t xml:space="preserve">  </w:t>
      </w:r>
    </w:p>
    <w:p w14:paraId="057CD84D" w14:textId="6C26E2C2" w:rsidR="00E66D49" w:rsidRPr="00E66D49" w:rsidRDefault="00291E23" w:rsidP="00E66D49">
      <w:pPr>
        <w:pStyle w:val="ListParagraph"/>
        <w:spacing w:before="120" w:after="120" w:line="360" w:lineRule="auto"/>
        <w:contextualSpacing w:val="0"/>
        <w:jc w:val="both"/>
        <w:rPr>
          <w:rFonts w:ascii="Times New Roman" w:hAnsi="Times New Roman" w:cs="Times New Roman"/>
          <w:sz w:val="24"/>
          <w:szCs w:val="24"/>
        </w:rPr>
      </w:pPr>
      <w:r w:rsidRPr="007C33F6">
        <w:rPr>
          <w:rFonts w:ascii="Times New Roman" w:hAnsi="Times New Roman" w:cs="Times New Roman"/>
          <w:sz w:val="24"/>
          <w:szCs w:val="24"/>
        </w:rPr>
        <w:t>In the event the permittee does not request a federally enforceable control requirement for tanks, uncontrolled VOC and HAP emissions shall be utilized</w:t>
      </w:r>
      <w:r>
        <w:rPr>
          <w:rFonts w:ascii="Times New Roman" w:hAnsi="Times New Roman" w:cs="Times New Roman"/>
          <w:sz w:val="24"/>
          <w:szCs w:val="24"/>
        </w:rPr>
        <w:t xml:space="preserve"> to demonstrate compliance with the tons per year emission limitations in Section 3 of the OPGP</w:t>
      </w:r>
      <w:r w:rsidRPr="007C33F6">
        <w:rPr>
          <w:rFonts w:ascii="Times New Roman" w:hAnsi="Times New Roman" w:cs="Times New Roman"/>
          <w:sz w:val="24"/>
          <w:szCs w:val="24"/>
        </w:rPr>
        <w:t xml:space="preserve"> even if tank emissions are routed to the flare. Tank emissions shall be determined using the American Petroleum Institute’s E&amp;P Tanks. Flash gas production may also be determined by using laboratory measurement of the Gas-Oil-Ratio from a pressurized liquid sample or a process</w:t>
      </w:r>
      <w:r w:rsidR="000F7801">
        <w:rPr>
          <w:rFonts w:ascii="Times New Roman" w:hAnsi="Times New Roman" w:cs="Times New Roman"/>
          <w:sz w:val="24"/>
          <w:szCs w:val="24"/>
        </w:rPr>
        <w:t xml:space="preserve"> simulator computer program, such as</w:t>
      </w:r>
      <w:r w:rsidRPr="007C33F6">
        <w:rPr>
          <w:rFonts w:ascii="Times New Roman" w:hAnsi="Times New Roman" w:cs="Times New Roman"/>
          <w:sz w:val="24"/>
          <w:szCs w:val="24"/>
        </w:rPr>
        <w:t xml:space="preserve"> HYSIM, HYSYS or PROMAX. Tank working and breathing losses may also be estimated using EPA AP-42 procedures. The permittee may request approval from MDEQ to use another methodology for calculating the emissions from the tanks.</w:t>
      </w:r>
    </w:p>
    <w:p w14:paraId="36D89293" w14:textId="77777777" w:rsidR="003A3DF0" w:rsidRPr="00F073D9" w:rsidRDefault="003A3DF0" w:rsidP="003058C3">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POTENTIALLY APPLICABLE REQUIREMENTS</w:t>
      </w:r>
    </w:p>
    <w:p w14:paraId="2D7BEA1E" w14:textId="77777777" w:rsidR="00D50C58" w:rsidRPr="000710F2" w:rsidRDefault="00B6091E" w:rsidP="00F10B30">
      <w:pPr>
        <w:spacing w:before="120" w:after="120" w:line="360" w:lineRule="auto"/>
        <w:ind w:left="360"/>
        <w:jc w:val="both"/>
        <w:rPr>
          <w:rFonts w:ascii="Times New Roman" w:hAnsi="Times New Roman" w:cs="Times New Roman"/>
          <w:sz w:val="24"/>
          <w:szCs w:val="24"/>
        </w:rPr>
      </w:pPr>
      <w:r w:rsidRPr="00B6091E">
        <w:rPr>
          <w:rFonts w:ascii="Times New Roman" w:hAnsi="Times New Roman" w:cs="Times New Roman"/>
          <w:sz w:val="24"/>
          <w:szCs w:val="24"/>
        </w:rPr>
        <w:t>Potentially applicable regulations, as well as any additional monitoring, recordkeeping, and reporting requirements necessary to demonstrate compliance with both the federal and state terms and conditions of the general permit, are provided in the “</w:t>
      </w:r>
      <w:r>
        <w:rPr>
          <w:rFonts w:ascii="Times New Roman" w:hAnsi="Times New Roman" w:cs="Times New Roman"/>
          <w:sz w:val="24"/>
          <w:szCs w:val="24"/>
        </w:rPr>
        <w:t>Emission Limitations and Standards</w:t>
      </w:r>
      <w:r w:rsidRPr="00B6091E">
        <w:rPr>
          <w:rFonts w:ascii="Times New Roman" w:hAnsi="Times New Roman" w:cs="Times New Roman"/>
          <w:sz w:val="24"/>
          <w:szCs w:val="24"/>
        </w:rPr>
        <w:t xml:space="preserve">” section of the general permit. Associated with each </w:t>
      </w:r>
      <w:r>
        <w:rPr>
          <w:rFonts w:ascii="Times New Roman" w:hAnsi="Times New Roman" w:cs="Times New Roman"/>
          <w:sz w:val="24"/>
          <w:szCs w:val="24"/>
        </w:rPr>
        <w:t>r</w:t>
      </w:r>
      <w:r w:rsidRPr="00B6091E">
        <w:rPr>
          <w:rFonts w:ascii="Times New Roman" w:hAnsi="Times New Roman" w:cs="Times New Roman"/>
          <w:sz w:val="24"/>
          <w:szCs w:val="24"/>
        </w:rPr>
        <w:t xml:space="preserve">equirement is a citation of the federal or state regulation upon which the authority to include that </w:t>
      </w:r>
      <w:r>
        <w:rPr>
          <w:rFonts w:ascii="Times New Roman" w:hAnsi="Times New Roman" w:cs="Times New Roman"/>
          <w:sz w:val="24"/>
          <w:szCs w:val="24"/>
        </w:rPr>
        <w:t>r</w:t>
      </w:r>
      <w:r w:rsidRPr="00B6091E">
        <w:rPr>
          <w:rFonts w:ascii="Times New Roman" w:hAnsi="Times New Roman" w:cs="Times New Roman"/>
          <w:sz w:val="24"/>
          <w:szCs w:val="24"/>
        </w:rPr>
        <w:t>equirement is based</w:t>
      </w:r>
      <w:r>
        <w:rPr>
          <w:rFonts w:ascii="Times New Roman" w:hAnsi="Times New Roman" w:cs="Times New Roman"/>
          <w:sz w:val="24"/>
          <w:szCs w:val="24"/>
        </w:rPr>
        <w:t>.</w:t>
      </w:r>
    </w:p>
    <w:p w14:paraId="05D15D24" w14:textId="45177483" w:rsidR="000710F2" w:rsidRPr="00F073D9" w:rsidRDefault="00B6091E" w:rsidP="007118E8">
      <w:pPr>
        <w:pStyle w:val="ListParagraph"/>
        <w:numPr>
          <w:ilvl w:val="0"/>
          <w:numId w:val="18"/>
        </w:numPr>
        <w:spacing w:before="120" w:after="120" w:line="360" w:lineRule="auto"/>
        <w:ind w:left="360" w:firstLine="0"/>
        <w:contextualSpacing w:val="0"/>
        <w:jc w:val="both"/>
        <w:rPr>
          <w:rFonts w:ascii="Times New Roman" w:hAnsi="Times New Roman" w:cs="Times New Roman"/>
          <w:sz w:val="24"/>
          <w:szCs w:val="24"/>
        </w:rPr>
      </w:pPr>
      <w:r w:rsidRPr="00EE4736">
        <w:rPr>
          <w:rFonts w:ascii="Times New Roman" w:hAnsi="Times New Roman" w:cs="Times New Roman"/>
          <w:sz w:val="24"/>
          <w:szCs w:val="24"/>
        </w:rPr>
        <w:t xml:space="preserve">40 CFR 60 – </w:t>
      </w:r>
      <w:r w:rsidR="00E52CEF">
        <w:rPr>
          <w:rFonts w:ascii="Times New Roman" w:hAnsi="Times New Roman" w:cs="Times New Roman"/>
          <w:sz w:val="24"/>
          <w:szCs w:val="24"/>
        </w:rPr>
        <w:t>Standards of Performance For New</w:t>
      </w:r>
      <w:r w:rsidR="000F7801">
        <w:rPr>
          <w:rFonts w:ascii="Times New Roman" w:hAnsi="Times New Roman" w:cs="Times New Roman"/>
          <w:sz w:val="24"/>
          <w:szCs w:val="24"/>
        </w:rPr>
        <w:t>, Reconstructed, or Modified</w:t>
      </w:r>
      <w:r w:rsidR="00E52CEF">
        <w:rPr>
          <w:rFonts w:ascii="Times New Roman" w:hAnsi="Times New Roman" w:cs="Times New Roman"/>
          <w:sz w:val="24"/>
          <w:szCs w:val="24"/>
        </w:rPr>
        <w:t xml:space="preserve"> Stationary Sources</w:t>
      </w:r>
    </w:p>
    <w:p w14:paraId="4BEED231" w14:textId="77777777" w:rsidR="000710F2" w:rsidRPr="00F073D9" w:rsidRDefault="000710F2" w:rsidP="00F10B30">
      <w:pPr>
        <w:pStyle w:val="ListParagraph"/>
        <w:spacing w:before="120" w:after="120" w:line="360" w:lineRule="auto"/>
        <w:contextualSpacing w:val="0"/>
        <w:jc w:val="both"/>
        <w:rPr>
          <w:rFonts w:ascii="Times New Roman" w:hAnsi="Times New Roman" w:cs="Times New Roman"/>
          <w:sz w:val="24"/>
          <w:szCs w:val="24"/>
        </w:rPr>
      </w:pPr>
      <w:r w:rsidRPr="000710F2">
        <w:rPr>
          <w:rFonts w:ascii="Times New Roman" w:hAnsi="Times New Roman" w:cs="Times New Roman"/>
          <w:sz w:val="24"/>
          <w:szCs w:val="24"/>
        </w:rPr>
        <w:t>Portions of the following subparts are potentially applicable to an eligible coverage recipient</w:t>
      </w:r>
      <w:r w:rsidR="00F073D9">
        <w:rPr>
          <w:rFonts w:ascii="Times New Roman" w:hAnsi="Times New Roman" w:cs="Times New Roman"/>
          <w:sz w:val="24"/>
          <w:szCs w:val="24"/>
        </w:rPr>
        <w:t>:</w:t>
      </w:r>
    </w:p>
    <w:p w14:paraId="240290C6" w14:textId="77777777" w:rsidR="00654579" w:rsidRDefault="00654579" w:rsidP="007118E8">
      <w:pPr>
        <w:pStyle w:val="ListParagraph"/>
        <w:numPr>
          <w:ilvl w:val="2"/>
          <w:numId w:val="18"/>
        </w:numPr>
        <w:spacing w:before="120" w:after="120" w:line="360" w:lineRule="auto"/>
        <w:ind w:left="1080" w:hanging="360"/>
        <w:contextualSpacing w:val="0"/>
        <w:jc w:val="both"/>
        <w:rPr>
          <w:rFonts w:ascii="Times New Roman" w:hAnsi="Times New Roman" w:cs="Times New Roman"/>
          <w:sz w:val="24"/>
          <w:szCs w:val="24"/>
        </w:rPr>
      </w:pPr>
      <w:r>
        <w:rPr>
          <w:rFonts w:ascii="Times New Roman" w:hAnsi="Times New Roman" w:cs="Times New Roman"/>
          <w:sz w:val="24"/>
          <w:szCs w:val="24"/>
        </w:rPr>
        <w:t>Subpart Kb – Standards of Performance for Volatile Organic Liquid Storage Vessels (Including Petroleum Liquid Storage Vessels) for Which Construction, Reconstruction, or Modification Commenced After July 23, 1984</w:t>
      </w:r>
      <w:r w:rsidR="00A5556D">
        <w:rPr>
          <w:rFonts w:ascii="Times New Roman" w:hAnsi="Times New Roman" w:cs="Times New Roman"/>
          <w:sz w:val="24"/>
          <w:szCs w:val="24"/>
        </w:rPr>
        <w:t>.</w:t>
      </w:r>
    </w:p>
    <w:p w14:paraId="1178AFC9" w14:textId="77777777" w:rsidR="000710F2" w:rsidRDefault="00B6091E" w:rsidP="007118E8">
      <w:pPr>
        <w:pStyle w:val="ListParagraph"/>
        <w:numPr>
          <w:ilvl w:val="2"/>
          <w:numId w:val="18"/>
        </w:numPr>
        <w:spacing w:before="120" w:after="120" w:line="360" w:lineRule="auto"/>
        <w:ind w:left="1080" w:hanging="360"/>
        <w:contextualSpacing w:val="0"/>
        <w:jc w:val="both"/>
        <w:rPr>
          <w:rFonts w:ascii="Times New Roman" w:hAnsi="Times New Roman" w:cs="Times New Roman"/>
          <w:sz w:val="24"/>
          <w:szCs w:val="24"/>
        </w:rPr>
      </w:pPr>
      <w:r w:rsidRPr="000710F2">
        <w:rPr>
          <w:rFonts w:ascii="Times New Roman" w:hAnsi="Times New Roman" w:cs="Times New Roman"/>
          <w:sz w:val="24"/>
          <w:szCs w:val="24"/>
        </w:rPr>
        <w:t>Subpart IIII - Standards of Performance for Stationary Compression Ignition Internal Combustion Engines.</w:t>
      </w:r>
    </w:p>
    <w:p w14:paraId="5DFC59CE" w14:textId="77777777" w:rsidR="000710F2" w:rsidRDefault="00B6091E" w:rsidP="007118E8">
      <w:pPr>
        <w:pStyle w:val="ListParagraph"/>
        <w:numPr>
          <w:ilvl w:val="2"/>
          <w:numId w:val="18"/>
        </w:numPr>
        <w:spacing w:before="120" w:after="120" w:line="360" w:lineRule="auto"/>
        <w:ind w:left="1080" w:hanging="360"/>
        <w:contextualSpacing w:val="0"/>
        <w:jc w:val="both"/>
        <w:rPr>
          <w:rFonts w:ascii="Times New Roman" w:hAnsi="Times New Roman" w:cs="Times New Roman"/>
          <w:sz w:val="24"/>
          <w:szCs w:val="24"/>
        </w:rPr>
      </w:pPr>
      <w:r w:rsidRPr="000710F2">
        <w:rPr>
          <w:rFonts w:ascii="Times New Roman" w:hAnsi="Times New Roman" w:cs="Times New Roman"/>
          <w:sz w:val="24"/>
          <w:szCs w:val="24"/>
        </w:rPr>
        <w:t>Subpart JJJJ - Standards of Performance for Stationary Spark Ignition Internal Combustion Engines.</w:t>
      </w:r>
    </w:p>
    <w:p w14:paraId="350E1EFC" w14:textId="77777777" w:rsidR="00393136" w:rsidRPr="000710F2" w:rsidRDefault="00393136" w:rsidP="007118E8">
      <w:pPr>
        <w:pStyle w:val="ListParagraph"/>
        <w:numPr>
          <w:ilvl w:val="2"/>
          <w:numId w:val="18"/>
        </w:numPr>
        <w:spacing w:before="120" w:after="120" w:line="360" w:lineRule="auto"/>
        <w:ind w:left="1080" w:hanging="360"/>
        <w:contextualSpacing w:val="0"/>
        <w:jc w:val="both"/>
        <w:rPr>
          <w:rFonts w:ascii="Times New Roman" w:hAnsi="Times New Roman" w:cs="Times New Roman"/>
          <w:sz w:val="24"/>
          <w:szCs w:val="24"/>
        </w:rPr>
      </w:pPr>
      <w:r>
        <w:rPr>
          <w:rFonts w:ascii="Times New Roman" w:hAnsi="Times New Roman" w:cs="Times New Roman"/>
          <w:sz w:val="24"/>
          <w:szCs w:val="24"/>
        </w:rPr>
        <w:t>Subpart OOOO</w:t>
      </w:r>
      <w:r w:rsidRPr="000710F2">
        <w:rPr>
          <w:rFonts w:ascii="Times New Roman" w:hAnsi="Times New Roman" w:cs="Times New Roman"/>
          <w:sz w:val="24"/>
          <w:szCs w:val="24"/>
        </w:rPr>
        <w:t xml:space="preserve"> - Standards of Performance for Crude Oil and Natural Gas Facilities for which Construction, Modification, or Reconstruction Commenced </w:t>
      </w:r>
      <w:r>
        <w:rPr>
          <w:rFonts w:ascii="Times New Roman" w:hAnsi="Times New Roman" w:cs="Times New Roman"/>
          <w:sz w:val="24"/>
          <w:szCs w:val="24"/>
        </w:rPr>
        <w:t>a</w:t>
      </w:r>
      <w:r w:rsidRPr="00393136">
        <w:rPr>
          <w:rFonts w:ascii="Times New Roman" w:hAnsi="Times New Roman" w:cs="Times New Roman"/>
          <w:sz w:val="24"/>
          <w:szCs w:val="24"/>
        </w:rPr>
        <w:t>fter August 23, 2011, and on or before September 18, 2015</w:t>
      </w:r>
      <w:r w:rsidRPr="000710F2">
        <w:rPr>
          <w:rFonts w:ascii="Times New Roman" w:hAnsi="Times New Roman" w:cs="Times New Roman"/>
          <w:sz w:val="24"/>
          <w:szCs w:val="24"/>
        </w:rPr>
        <w:t>.</w:t>
      </w:r>
    </w:p>
    <w:p w14:paraId="79C779A4" w14:textId="77777777" w:rsidR="000710F2" w:rsidRPr="00F073D9" w:rsidRDefault="00B6091E" w:rsidP="007118E8">
      <w:pPr>
        <w:pStyle w:val="ListParagraph"/>
        <w:numPr>
          <w:ilvl w:val="2"/>
          <w:numId w:val="18"/>
        </w:numPr>
        <w:spacing w:before="120" w:after="120" w:line="360" w:lineRule="auto"/>
        <w:ind w:left="1080" w:hanging="360"/>
        <w:contextualSpacing w:val="0"/>
        <w:jc w:val="both"/>
        <w:rPr>
          <w:rFonts w:ascii="Times New Roman" w:hAnsi="Times New Roman" w:cs="Times New Roman"/>
          <w:sz w:val="24"/>
          <w:szCs w:val="24"/>
        </w:rPr>
      </w:pPr>
      <w:r w:rsidRPr="000710F2">
        <w:rPr>
          <w:rFonts w:ascii="Times New Roman" w:hAnsi="Times New Roman" w:cs="Times New Roman"/>
          <w:sz w:val="24"/>
          <w:szCs w:val="24"/>
        </w:rPr>
        <w:t>Subpart OOOOa - Standards of Performance for Crude Oil and Natural Gas Facilities for which Construction, Modification, or Reconstruction Commenced after September 18, 2015.</w:t>
      </w:r>
    </w:p>
    <w:p w14:paraId="74928F72" w14:textId="77777777" w:rsidR="00EE4736" w:rsidRPr="00F073D9" w:rsidRDefault="00EE4736" w:rsidP="007118E8">
      <w:pPr>
        <w:pStyle w:val="ListParagraph"/>
        <w:numPr>
          <w:ilvl w:val="0"/>
          <w:numId w:val="18"/>
        </w:numPr>
        <w:spacing w:before="120" w:after="120" w:line="360" w:lineRule="auto"/>
        <w:ind w:left="630" w:hanging="27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50C58" w:rsidRPr="00EE4736">
        <w:rPr>
          <w:rFonts w:ascii="Times New Roman" w:hAnsi="Times New Roman" w:cs="Times New Roman"/>
          <w:sz w:val="24"/>
          <w:szCs w:val="24"/>
        </w:rPr>
        <w:t>40 CFR 63 -  National Emission Standards for Hazardous Air Pollutants</w:t>
      </w:r>
      <w:r w:rsidR="00E52CEF">
        <w:rPr>
          <w:rFonts w:ascii="Times New Roman" w:hAnsi="Times New Roman" w:cs="Times New Roman"/>
          <w:sz w:val="24"/>
          <w:szCs w:val="24"/>
        </w:rPr>
        <w:t xml:space="preserve"> For Source Categories</w:t>
      </w:r>
    </w:p>
    <w:p w14:paraId="359606D2" w14:textId="77777777" w:rsidR="00F073D9" w:rsidRDefault="00393136" w:rsidP="00F10B30">
      <w:pPr>
        <w:pStyle w:val="ListParagraph"/>
        <w:spacing w:before="120" w:after="120" w:line="360" w:lineRule="auto"/>
        <w:contextualSpacing w:val="0"/>
        <w:jc w:val="both"/>
        <w:rPr>
          <w:rFonts w:ascii="Times New Roman" w:hAnsi="Times New Roman" w:cs="Times New Roman"/>
          <w:sz w:val="24"/>
          <w:szCs w:val="24"/>
        </w:rPr>
      </w:pPr>
      <w:r w:rsidRPr="000710F2">
        <w:rPr>
          <w:rFonts w:ascii="Times New Roman" w:hAnsi="Times New Roman" w:cs="Times New Roman"/>
          <w:sz w:val="24"/>
          <w:szCs w:val="24"/>
        </w:rPr>
        <w:t>Po</w:t>
      </w:r>
      <w:r>
        <w:rPr>
          <w:rFonts w:ascii="Times New Roman" w:hAnsi="Times New Roman" w:cs="Times New Roman"/>
          <w:sz w:val="24"/>
          <w:szCs w:val="24"/>
        </w:rPr>
        <w:t>rtions of the following subpart</w:t>
      </w:r>
      <w:r w:rsidRPr="000710F2">
        <w:rPr>
          <w:rFonts w:ascii="Times New Roman" w:hAnsi="Times New Roman" w:cs="Times New Roman"/>
          <w:sz w:val="24"/>
          <w:szCs w:val="24"/>
        </w:rPr>
        <w:t xml:space="preserve"> are potentially applicable to an eligible coverage recipient</w:t>
      </w:r>
      <w:r w:rsidR="00F073D9">
        <w:rPr>
          <w:rFonts w:ascii="Times New Roman" w:hAnsi="Times New Roman" w:cs="Times New Roman"/>
          <w:sz w:val="24"/>
          <w:szCs w:val="24"/>
        </w:rPr>
        <w:t>:</w:t>
      </w:r>
    </w:p>
    <w:p w14:paraId="57906A3F" w14:textId="77777777" w:rsidR="00F073D9" w:rsidRDefault="00D50C58" w:rsidP="007118E8">
      <w:pPr>
        <w:pStyle w:val="ListParagraph"/>
        <w:numPr>
          <w:ilvl w:val="0"/>
          <w:numId w:val="19"/>
        </w:numPr>
        <w:spacing w:before="120" w:after="120" w:line="360" w:lineRule="auto"/>
        <w:ind w:left="1080"/>
        <w:contextualSpacing w:val="0"/>
        <w:jc w:val="both"/>
        <w:rPr>
          <w:rFonts w:ascii="Times New Roman" w:hAnsi="Times New Roman" w:cs="Times New Roman"/>
          <w:sz w:val="24"/>
          <w:szCs w:val="24"/>
        </w:rPr>
      </w:pPr>
      <w:r w:rsidRPr="00F073D9">
        <w:rPr>
          <w:rFonts w:ascii="Times New Roman" w:hAnsi="Times New Roman" w:cs="Times New Roman"/>
          <w:sz w:val="24"/>
          <w:szCs w:val="24"/>
        </w:rPr>
        <w:t>Subpart ZZZZ - National Emissions Standards for Hazardous Air Pollutants for Stationary Reciprocating Internal Combustion Engines.</w:t>
      </w:r>
      <w:r w:rsidR="00393136" w:rsidRPr="00F073D9">
        <w:rPr>
          <w:rFonts w:ascii="Times New Roman" w:hAnsi="Times New Roman" w:cs="Times New Roman"/>
          <w:sz w:val="24"/>
          <w:szCs w:val="24"/>
        </w:rPr>
        <w:t xml:space="preserve"> </w:t>
      </w:r>
    </w:p>
    <w:p w14:paraId="5A48E96C" w14:textId="77777777" w:rsidR="00D50C58" w:rsidRDefault="00D50C58" w:rsidP="007118E8">
      <w:pPr>
        <w:pStyle w:val="ListParagraph"/>
        <w:numPr>
          <w:ilvl w:val="0"/>
          <w:numId w:val="18"/>
        </w:numPr>
        <w:spacing w:before="120" w:after="120" w:line="360" w:lineRule="auto"/>
        <w:ind w:left="360" w:firstLine="0"/>
        <w:contextualSpacing w:val="0"/>
        <w:jc w:val="both"/>
        <w:rPr>
          <w:rFonts w:ascii="Times New Roman" w:hAnsi="Times New Roman" w:cs="Times New Roman"/>
          <w:sz w:val="24"/>
          <w:szCs w:val="24"/>
        </w:rPr>
      </w:pPr>
      <w:r w:rsidRPr="00EE4736">
        <w:rPr>
          <w:rFonts w:ascii="Times New Roman" w:hAnsi="Times New Roman" w:cs="Times New Roman"/>
          <w:sz w:val="24"/>
          <w:szCs w:val="24"/>
        </w:rPr>
        <w:t>New Source Review (NSR)</w:t>
      </w:r>
    </w:p>
    <w:p w14:paraId="53EB508F" w14:textId="77777777" w:rsidR="00203908" w:rsidRPr="00203908" w:rsidRDefault="00D344BF" w:rsidP="00203908">
      <w:pPr>
        <w:pStyle w:val="ListParagraph"/>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Facilities granted coverage under the OPGP </w:t>
      </w:r>
      <w:r w:rsidR="00AB0B48" w:rsidRPr="00AB0B48">
        <w:rPr>
          <w:rFonts w:ascii="Times New Roman" w:hAnsi="Times New Roman" w:cs="Times New Roman"/>
          <w:sz w:val="24"/>
          <w:szCs w:val="24"/>
        </w:rPr>
        <w:t>are not classified as major stationary sources under the Prevention of Significant Deterioration (PSD) program because potential facility-wide emissions are limited to less than the thresholds set forth in Section 3 of the general permit. Since the general permit establishes federally enforceable requirements, facilities covered under this general permit will be considered as “moderate” sources for PSD</w:t>
      </w:r>
      <w:r w:rsidR="00256393">
        <w:rPr>
          <w:rFonts w:ascii="Times New Roman" w:hAnsi="Times New Roman" w:cs="Times New Roman"/>
          <w:sz w:val="24"/>
          <w:szCs w:val="24"/>
        </w:rPr>
        <w:t>.</w:t>
      </w:r>
      <w:r w:rsidR="00203908">
        <w:rPr>
          <w:rFonts w:ascii="Times New Roman" w:hAnsi="Times New Roman" w:cs="Times New Roman"/>
          <w:sz w:val="24"/>
          <w:szCs w:val="24"/>
        </w:rPr>
        <w:t xml:space="preserve"> </w:t>
      </w:r>
      <w:r w:rsidR="00203908" w:rsidRPr="00203908">
        <w:rPr>
          <w:rFonts w:ascii="Times New Roman" w:hAnsi="Times New Roman" w:cs="Times New Roman"/>
          <w:sz w:val="24"/>
          <w:szCs w:val="24"/>
        </w:rPr>
        <w:t>Facilities granted coverage under the OPGP are also not subject to review under Nonattainment New Source Review (NNSR) since there are currently no areas on Mississippi classified as nonattainment for any National Ambient Air Quality Standard (NAAQS).</w:t>
      </w:r>
    </w:p>
    <w:p w14:paraId="3A2FBBB6" w14:textId="2BDD6EB8" w:rsidR="00AB0B48" w:rsidRDefault="00AB0B48" w:rsidP="00F10B30">
      <w:pPr>
        <w:pStyle w:val="ListParagraph"/>
        <w:spacing w:before="120" w:after="120" w:line="360" w:lineRule="auto"/>
        <w:contextualSpacing w:val="0"/>
        <w:jc w:val="both"/>
        <w:rPr>
          <w:rFonts w:ascii="Times New Roman" w:hAnsi="Times New Roman" w:cs="Times New Roman"/>
          <w:sz w:val="24"/>
          <w:szCs w:val="24"/>
        </w:rPr>
      </w:pPr>
    </w:p>
    <w:p w14:paraId="54410909" w14:textId="77777777" w:rsidR="00AB0B48" w:rsidRDefault="00AB0B48" w:rsidP="007118E8">
      <w:pPr>
        <w:pStyle w:val="ListParagraph"/>
        <w:numPr>
          <w:ilvl w:val="0"/>
          <w:numId w:val="18"/>
        </w:numPr>
        <w:spacing w:before="120" w:after="120" w:line="360" w:lineRule="auto"/>
        <w:ind w:left="360" w:firstLine="0"/>
        <w:contextualSpacing w:val="0"/>
        <w:jc w:val="both"/>
        <w:rPr>
          <w:rFonts w:ascii="Times New Roman" w:hAnsi="Times New Roman" w:cs="Times New Roman"/>
          <w:sz w:val="24"/>
          <w:szCs w:val="24"/>
        </w:rPr>
      </w:pPr>
      <w:r>
        <w:rPr>
          <w:rFonts w:ascii="Times New Roman" w:hAnsi="Times New Roman" w:cs="Times New Roman"/>
          <w:sz w:val="24"/>
          <w:szCs w:val="24"/>
        </w:rPr>
        <w:t>State</w:t>
      </w:r>
      <w:r w:rsidRPr="00AB0B48">
        <w:rPr>
          <w:rFonts w:ascii="Times New Roman" w:hAnsi="Times New Roman" w:cs="Times New Roman"/>
          <w:sz w:val="24"/>
          <w:szCs w:val="24"/>
        </w:rPr>
        <w:t xml:space="preserve"> </w:t>
      </w:r>
      <w:r w:rsidR="000710F2" w:rsidRPr="00AB0B48">
        <w:rPr>
          <w:rFonts w:ascii="Times New Roman" w:hAnsi="Times New Roman" w:cs="Times New Roman"/>
          <w:sz w:val="24"/>
          <w:szCs w:val="24"/>
        </w:rPr>
        <w:t>of Mississippi Regulations</w:t>
      </w:r>
    </w:p>
    <w:p w14:paraId="5E0488E4" w14:textId="77777777" w:rsidR="00AB0B48" w:rsidRDefault="00AB0B48" w:rsidP="00F10B30">
      <w:pPr>
        <w:pStyle w:val="ListParagraph"/>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Portions </w:t>
      </w:r>
      <w:r w:rsidRPr="00AB0B48">
        <w:rPr>
          <w:rFonts w:ascii="Times New Roman" w:hAnsi="Times New Roman" w:cs="Times New Roman"/>
          <w:sz w:val="24"/>
          <w:szCs w:val="24"/>
        </w:rPr>
        <w:t>of the Mississippi Commission on Environmental Quality Air Regulations are potentially applicable to an eligible coverage recipient:</w:t>
      </w:r>
    </w:p>
    <w:p w14:paraId="6F047EDF" w14:textId="77777777" w:rsidR="00765347" w:rsidRDefault="00AB0B48" w:rsidP="00AB0B48">
      <w:pPr>
        <w:pStyle w:val="ListParagraph"/>
        <w:numPr>
          <w:ilvl w:val="1"/>
          <w:numId w:val="18"/>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11</w:t>
      </w:r>
      <w:r w:rsidRPr="00AB0B48">
        <w:rPr>
          <w:rFonts w:ascii="Times New Roman" w:hAnsi="Times New Roman" w:cs="Times New Roman"/>
          <w:sz w:val="24"/>
          <w:szCs w:val="24"/>
        </w:rPr>
        <w:t xml:space="preserve"> Miss. Admin. Code Pt. 2, Ch. 1. - Air Emission Regulations for the Prevention, Abatement, and Control of Air Contaminants (Adopted May 8, 1970; Last Amended November 20, 2014)</w:t>
      </w:r>
    </w:p>
    <w:p w14:paraId="1A842E5F"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11</w:t>
      </w:r>
      <w:r w:rsidRPr="00AB0B48">
        <w:rPr>
          <w:rFonts w:ascii="Times New Roman" w:hAnsi="Times New Roman" w:cs="Times New Roman"/>
          <w:sz w:val="24"/>
          <w:szCs w:val="24"/>
        </w:rPr>
        <w:t xml:space="preserve"> </w:t>
      </w:r>
      <w:r w:rsidR="006D4103" w:rsidRPr="00AB0B48">
        <w:rPr>
          <w:rFonts w:ascii="Times New Roman" w:hAnsi="Times New Roman" w:cs="Times New Roman"/>
          <w:sz w:val="24"/>
          <w:szCs w:val="24"/>
        </w:rPr>
        <w:t>Miss. Admin. Code Pt. 2, R.1.3.A.</w:t>
      </w:r>
      <w:r w:rsidRPr="00AB0B48">
        <w:rPr>
          <w:rFonts w:ascii="Times New Roman" w:hAnsi="Times New Roman" w:cs="Times New Roman"/>
          <w:sz w:val="24"/>
          <w:szCs w:val="24"/>
        </w:rPr>
        <w:t xml:space="preserve"> </w:t>
      </w:r>
      <w:r>
        <w:rPr>
          <w:rFonts w:ascii="Times New Roman" w:hAnsi="Times New Roman" w:cs="Times New Roman"/>
          <w:sz w:val="24"/>
          <w:szCs w:val="24"/>
        </w:rPr>
        <w:t>–</w:t>
      </w:r>
      <w:r w:rsidRPr="00AB0B48">
        <w:rPr>
          <w:rFonts w:ascii="Times New Roman" w:hAnsi="Times New Roman" w:cs="Times New Roman"/>
          <w:sz w:val="24"/>
          <w:szCs w:val="24"/>
        </w:rPr>
        <w:t xml:space="preserve"> O</w:t>
      </w:r>
      <w:r w:rsidR="00765347" w:rsidRPr="00AB0B48">
        <w:rPr>
          <w:rFonts w:ascii="Times New Roman" w:hAnsi="Times New Roman" w:cs="Times New Roman"/>
          <w:sz w:val="24"/>
          <w:szCs w:val="24"/>
        </w:rPr>
        <w:t>pacity</w:t>
      </w:r>
    </w:p>
    <w:p w14:paraId="5BF3A1A4"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R.1.3.B. – Equivalent Opacity</w:t>
      </w:r>
    </w:p>
    <w:p w14:paraId="2C8CF416"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R.1.3.D(1)(a). – Filterable Particulate Matter (PM)</w:t>
      </w:r>
    </w:p>
    <w:p w14:paraId="367CABDC"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R.1.3.D(1)(b). – Filterable PM</w:t>
      </w:r>
    </w:p>
    <w:p w14:paraId="67D9F5C7"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R.1.4.A(1). – Sulfur Dioxide (SO</w:t>
      </w:r>
      <w:r w:rsidRPr="00AB0B48">
        <w:rPr>
          <w:rFonts w:ascii="Times New Roman" w:hAnsi="Times New Roman" w:cs="Times New Roman"/>
          <w:sz w:val="24"/>
          <w:szCs w:val="24"/>
          <w:vertAlign w:val="subscript"/>
        </w:rPr>
        <w:t>2</w:t>
      </w:r>
      <w:r w:rsidRPr="00AB0B48">
        <w:rPr>
          <w:rFonts w:ascii="Times New Roman" w:hAnsi="Times New Roman" w:cs="Times New Roman"/>
          <w:sz w:val="24"/>
          <w:szCs w:val="24"/>
        </w:rPr>
        <w:t>)</w:t>
      </w:r>
    </w:p>
    <w:p w14:paraId="2FB6D1D9" w14:textId="77777777" w:rsidR="00AB0B48" w:rsidRDefault="00AB0B48" w:rsidP="00AB0B48">
      <w:pPr>
        <w:pStyle w:val="ListParagraph"/>
        <w:numPr>
          <w:ilvl w:val="2"/>
          <w:numId w:val="18"/>
        </w:numPr>
        <w:spacing w:before="120" w:after="120" w:line="360" w:lineRule="auto"/>
        <w:ind w:left="180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R.1.4.B(2). – Hydrogen Sulfide (H</w:t>
      </w:r>
      <w:r w:rsidRPr="00AB0B48">
        <w:rPr>
          <w:rFonts w:ascii="Times New Roman" w:hAnsi="Times New Roman" w:cs="Times New Roman"/>
          <w:sz w:val="24"/>
          <w:szCs w:val="24"/>
          <w:vertAlign w:val="subscript"/>
        </w:rPr>
        <w:t>2</w:t>
      </w:r>
      <w:r w:rsidRPr="00AB0B48">
        <w:rPr>
          <w:rFonts w:ascii="Times New Roman" w:hAnsi="Times New Roman" w:cs="Times New Roman"/>
          <w:sz w:val="24"/>
          <w:szCs w:val="24"/>
        </w:rPr>
        <w:t>S)</w:t>
      </w:r>
    </w:p>
    <w:p w14:paraId="139D43A8" w14:textId="77777777" w:rsidR="00AB0B48" w:rsidRPr="00AB0B48" w:rsidRDefault="00AB0B48" w:rsidP="00AB0B48">
      <w:pPr>
        <w:pStyle w:val="ListParagraph"/>
        <w:numPr>
          <w:ilvl w:val="1"/>
          <w:numId w:val="18"/>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B0B48">
        <w:rPr>
          <w:rFonts w:ascii="Times New Roman" w:hAnsi="Times New Roman" w:cs="Times New Roman"/>
          <w:sz w:val="24"/>
          <w:szCs w:val="24"/>
        </w:rPr>
        <w:t>Miss. Admin. Code Pt. 2, Ch. 2. - Permit Regulations for the Construction and/or Operation of Air Emissions Equipment (Adopted May 8, 1970; Last Amended July 28, 2005).</w:t>
      </w:r>
    </w:p>
    <w:p w14:paraId="133944FF" w14:textId="03AF53C1" w:rsidR="00765347" w:rsidRDefault="000C52FB" w:rsidP="00F10B30">
      <w:pPr>
        <w:spacing w:before="120"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Any fuel combustion equipment</w:t>
      </w:r>
      <w:r w:rsidR="00765347">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00765347" w:rsidRPr="00765347">
        <w:rPr>
          <w:rFonts w:ascii="Times New Roman" w:hAnsi="Times New Roman" w:cs="Times New Roman"/>
          <w:sz w:val="24"/>
          <w:szCs w:val="24"/>
        </w:rPr>
        <w:t>subject to State Sta</w:t>
      </w:r>
      <w:r>
        <w:rPr>
          <w:rFonts w:ascii="Times New Roman" w:hAnsi="Times New Roman" w:cs="Times New Roman"/>
          <w:sz w:val="24"/>
          <w:szCs w:val="24"/>
        </w:rPr>
        <w:t xml:space="preserve">ndards for Opacity, PM, and </w:t>
      </w:r>
      <w:r w:rsidR="00765347" w:rsidRPr="00765347">
        <w:rPr>
          <w:rFonts w:ascii="Times New Roman" w:hAnsi="Times New Roman" w:cs="Times New Roman"/>
          <w:sz w:val="24"/>
          <w:szCs w:val="24"/>
        </w:rPr>
        <w:t>SO</w:t>
      </w:r>
      <w:r w:rsidR="00765347" w:rsidRPr="00765347">
        <w:rPr>
          <w:rFonts w:ascii="Times New Roman" w:hAnsi="Times New Roman" w:cs="Times New Roman"/>
          <w:sz w:val="24"/>
          <w:szCs w:val="24"/>
          <w:vertAlign w:val="subscript"/>
        </w:rPr>
        <w:t>2</w:t>
      </w:r>
      <w:r w:rsidR="00765347" w:rsidRPr="00765347">
        <w:rPr>
          <w:rFonts w:ascii="Times New Roman" w:hAnsi="Times New Roman" w:cs="Times New Roman"/>
          <w:sz w:val="24"/>
          <w:szCs w:val="24"/>
        </w:rPr>
        <w:t xml:space="preserve">. </w:t>
      </w:r>
      <w:r>
        <w:rPr>
          <w:rFonts w:ascii="Times New Roman" w:hAnsi="Times New Roman" w:cs="Times New Roman"/>
          <w:sz w:val="24"/>
          <w:szCs w:val="24"/>
        </w:rPr>
        <w:t xml:space="preserve">The units shall be limited to burning produced gas, propane, natural gas, and diesel. </w:t>
      </w:r>
      <w:r w:rsidR="00765347" w:rsidRPr="00765347">
        <w:rPr>
          <w:rFonts w:ascii="Times New Roman" w:hAnsi="Times New Roman" w:cs="Times New Roman"/>
          <w:sz w:val="24"/>
          <w:szCs w:val="24"/>
        </w:rPr>
        <w:t xml:space="preserve">Since </w:t>
      </w:r>
      <w:r w:rsidRPr="000C52FB">
        <w:rPr>
          <w:rFonts w:ascii="Times New Roman" w:hAnsi="Times New Roman" w:cs="Times New Roman"/>
          <w:sz w:val="24"/>
          <w:szCs w:val="24"/>
        </w:rPr>
        <w:t xml:space="preserve">produced gas, propane, </w:t>
      </w:r>
      <w:r>
        <w:rPr>
          <w:rFonts w:ascii="Times New Roman" w:hAnsi="Times New Roman" w:cs="Times New Roman"/>
          <w:sz w:val="24"/>
          <w:szCs w:val="24"/>
        </w:rPr>
        <w:t xml:space="preserve"> and </w:t>
      </w:r>
      <w:r w:rsidRPr="000C52FB">
        <w:rPr>
          <w:rFonts w:ascii="Times New Roman" w:hAnsi="Times New Roman" w:cs="Times New Roman"/>
          <w:sz w:val="24"/>
          <w:szCs w:val="24"/>
        </w:rPr>
        <w:t>natural gas</w:t>
      </w:r>
      <w:r w:rsidR="00765347" w:rsidRPr="00765347">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765347" w:rsidRPr="00765347">
        <w:rPr>
          <w:rFonts w:ascii="Times New Roman" w:hAnsi="Times New Roman" w:cs="Times New Roman"/>
          <w:sz w:val="24"/>
          <w:szCs w:val="24"/>
        </w:rPr>
        <w:t>relatively clean burning fuel</w:t>
      </w:r>
      <w:r>
        <w:rPr>
          <w:rFonts w:ascii="Times New Roman" w:hAnsi="Times New Roman" w:cs="Times New Roman"/>
          <w:sz w:val="24"/>
          <w:szCs w:val="24"/>
        </w:rPr>
        <w:t>s and due to</w:t>
      </w:r>
      <w:r w:rsidR="00203908">
        <w:rPr>
          <w:rFonts w:ascii="Times New Roman" w:hAnsi="Times New Roman" w:cs="Times New Roman"/>
          <w:sz w:val="24"/>
          <w:szCs w:val="24"/>
        </w:rPr>
        <w:t xml:space="preserve"> federal</w:t>
      </w:r>
      <w:r>
        <w:rPr>
          <w:rFonts w:ascii="Times New Roman" w:hAnsi="Times New Roman" w:cs="Times New Roman"/>
          <w:sz w:val="24"/>
          <w:szCs w:val="24"/>
        </w:rPr>
        <w:t xml:space="preserve"> regulations limiting the amount of sulfur in diesel</w:t>
      </w:r>
      <w:r w:rsidR="00765347" w:rsidRPr="00765347">
        <w:rPr>
          <w:rFonts w:ascii="Times New Roman" w:hAnsi="Times New Roman" w:cs="Times New Roman"/>
          <w:sz w:val="24"/>
          <w:szCs w:val="24"/>
        </w:rPr>
        <w:t>, the units will have a large margin of compliance and will not approach the State Standards for Opacity, PM, and SO</w:t>
      </w:r>
      <w:r w:rsidR="00765347" w:rsidRPr="00765347">
        <w:rPr>
          <w:rFonts w:ascii="Times New Roman" w:hAnsi="Times New Roman" w:cs="Times New Roman"/>
          <w:sz w:val="24"/>
          <w:szCs w:val="24"/>
          <w:vertAlign w:val="subscript"/>
        </w:rPr>
        <w:t>2</w:t>
      </w:r>
      <w:r w:rsidR="00765347" w:rsidRPr="00765347">
        <w:rPr>
          <w:rFonts w:ascii="Times New Roman" w:hAnsi="Times New Roman" w:cs="Times New Roman"/>
          <w:sz w:val="24"/>
          <w:szCs w:val="24"/>
        </w:rPr>
        <w:t>.</w:t>
      </w:r>
    </w:p>
    <w:p w14:paraId="1718B09F" w14:textId="77777777" w:rsidR="007118E8" w:rsidRPr="007118E8" w:rsidRDefault="000C52FB" w:rsidP="00F10B30">
      <w:pPr>
        <w:spacing w:before="120" w:after="120" w:line="360" w:lineRule="auto"/>
        <w:ind w:left="1440"/>
        <w:jc w:val="both"/>
        <w:rPr>
          <w:rFonts w:ascii="Times New Roman" w:hAnsi="Times New Roman" w:cs="Times New Roman"/>
          <w:sz w:val="24"/>
          <w:szCs w:val="24"/>
        </w:rPr>
      </w:pPr>
      <w:r w:rsidRPr="00093711">
        <w:rPr>
          <w:rFonts w:ascii="Times New Roman" w:hAnsi="Times New Roman" w:cs="Times New Roman"/>
          <w:sz w:val="24"/>
          <w:szCs w:val="24"/>
        </w:rPr>
        <w:t xml:space="preserve">Any oil well </w:t>
      </w:r>
      <w:r w:rsidR="00765347" w:rsidRPr="00093711">
        <w:rPr>
          <w:rFonts w:ascii="Times New Roman" w:hAnsi="Times New Roman" w:cs="Times New Roman"/>
          <w:sz w:val="24"/>
          <w:szCs w:val="24"/>
        </w:rPr>
        <w:t xml:space="preserve">producing a gas stream containing </w:t>
      </w:r>
      <w:r w:rsidRPr="00093711">
        <w:rPr>
          <w:rFonts w:ascii="Times New Roman" w:hAnsi="Times New Roman" w:cs="Times New Roman"/>
          <w:sz w:val="24"/>
          <w:szCs w:val="24"/>
        </w:rPr>
        <w:t>H</w:t>
      </w:r>
      <w:r w:rsidRPr="00093711">
        <w:rPr>
          <w:rFonts w:ascii="Times New Roman" w:hAnsi="Times New Roman" w:cs="Times New Roman"/>
          <w:sz w:val="24"/>
          <w:szCs w:val="24"/>
          <w:vertAlign w:val="subscript"/>
        </w:rPr>
        <w:t>2</w:t>
      </w:r>
      <w:r w:rsidRPr="00093711">
        <w:rPr>
          <w:rFonts w:ascii="Times New Roman" w:hAnsi="Times New Roman" w:cs="Times New Roman"/>
          <w:sz w:val="24"/>
          <w:szCs w:val="24"/>
        </w:rPr>
        <w:t xml:space="preserve">S </w:t>
      </w:r>
      <w:r w:rsidR="00765347" w:rsidRPr="00093711">
        <w:rPr>
          <w:rFonts w:ascii="Times New Roman" w:hAnsi="Times New Roman" w:cs="Times New Roman"/>
          <w:sz w:val="24"/>
          <w:szCs w:val="24"/>
        </w:rPr>
        <w:t>in excess of one (1) grain per</w:t>
      </w:r>
      <w:r w:rsidRPr="00093711">
        <w:rPr>
          <w:rFonts w:ascii="Times New Roman" w:hAnsi="Times New Roman" w:cs="Times New Roman"/>
          <w:sz w:val="24"/>
          <w:szCs w:val="24"/>
        </w:rPr>
        <w:t xml:space="preserve"> 100 standard cubic feet is not eligible for this general permit. Further compliance shal</w:t>
      </w:r>
      <w:r w:rsidR="004C6C02" w:rsidRPr="00093711">
        <w:rPr>
          <w:rFonts w:ascii="Times New Roman" w:hAnsi="Times New Roman" w:cs="Times New Roman"/>
          <w:sz w:val="24"/>
          <w:szCs w:val="24"/>
        </w:rPr>
        <w:t>l be demonstrated by routing all</w:t>
      </w:r>
      <w:r w:rsidRPr="00093711">
        <w:rPr>
          <w:rFonts w:ascii="Times New Roman" w:hAnsi="Times New Roman" w:cs="Times New Roman"/>
          <w:sz w:val="24"/>
          <w:szCs w:val="24"/>
        </w:rPr>
        <w:t xml:space="preserve"> produced </w:t>
      </w:r>
      <w:r w:rsidR="004C6C02" w:rsidRPr="00093711">
        <w:rPr>
          <w:rFonts w:ascii="Times New Roman" w:hAnsi="Times New Roman" w:cs="Times New Roman"/>
          <w:sz w:val="24"/>
          <w:szCs w:val="24"/>
        </w:rPr>
        <w:t>gas</w:t>
      </w:r>
      <w:r w:rsidRPr="00093711">
        <w:rPr>
          <w:rFonts w:ascii="Times New Roman" w:hAnsi="Times New Roman" w:cs="Times New Roman"/>
          <w:sz w:val="24"/>
          <w:szCs w:val="24"/>
        </w:rPr>
        <w:t xml:space="preserve"> to the flare</w:t>
      </w:r>
      <w:r w:rsidR="004C6C02" w:rsidRPr="00093711">
        <w:rPr>
          <w:rFonts w:ascii="Times New Roman" w:hAnsi="Times New Roman" w:cs="Times New Roman"/>
          <w:sz w:val="24"/>
          <w:szCs w:val="24"/>
        </w:rPr>
        <w:t xml:space="preserve"> for control or to a pipeline for product recovery and/or sale</w:t>
      </w:r>
      <w:r w:rsidRPr="00093711">
        <w:rPr>
          <w:rFonts w:ascii="Times New Roman" w:hAnsi="Times New Roman" w:cs="Times New Roman"/>
          <w:sz w:val="24"/>
          <w:szCs w:val="24"/>
        </w:rPr>
        <w:t>.</w:t>
      </w:r>
    </w:p>
    <w:p w14:paraId="293C9044" w14:textId="77777777" w:rsidR="00755B0B" w:rsidRPr="00F073D9" w:rsidRDefault="00755B0B" w:rsidP="003058C3">
      <w:pPr>
        <w:pStyle w:val="ListParagraph"/>
        <w:numPr>
          <w:ilvl w:val="0"/>
          <w:numId w:val="1"/>
        </w:numPr>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PUBLIC PARTICIPATION REQUIREMENTS TO BE COVERED</w:t>
      </w:r>
    </w:p>
    <w:p w14:paraId="137745A4" w14:textId="6F5D9371" w:rsidR="003A3A27" w:rsidRPr="00F073D9" w:rsidRDefault="004C6C02" w:rsidP="00F10B30">
      <w:pPr>
        <w:pStyle w:val="ListParagraph"/>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This OPGP</w:t>
      </w:r>
      <w:r w:rsidR="00755B0B">
        <w:rPr>
          <w:rFonts w:ascii="Times New Roman" w:hAnsi="Times New Roman" w:cs="Times New Roman"/>
          <w:sz w:val="24"/>
          <w:szCs w:val="24"/>
        </w:rPr>
        <w:t xml:space="preserve"> is for the construction and operation of facilities that may be considered “moderate sources” for PSD purposes and “synthetic minor” sources for Title V purposes.  Miss. Admin. Code Pt. 2, Rule 2.4.C. and 2.4.D established the public participation process for these types of sources.  In order to seek coverage under the general permit, the pr</w:t>
      </w:r>
      <w:r w:rsidR="003A3A27">
        <w:rPr>
          <w:rFonts w:ascii="Times New Roman" w:hAnsi="Times New Roman" w:cs="Times New Roman"/>
          <w:sz w:val="24"/>
          <w:szCs w:val="24"/>
        </w:rPr>
        <w:t>oposed facility will be required to conduct the public participation process including publishing a notice in a newspaper</w:t>
      </w:r>
      <w:r w:rsidR="00203908">
        <w:rPr>
          <w:rFonts w:ascii="Times New Roman" w:hAnsi="Times New Roman" w:cs="Times New Roman"/>
          <w:sz w:val="24"/>
          <w:szCs w:val="24"/>
        </w:rPr>
        <w:t xml:space="preserve"> of local distribution to notify</w:t>
      </w:r>
      <w:r w:rsidR="003A3A27">
        <w:rPr>
          <w:rFonts w:ascii="Times New Roman" w:hAnsi="Times New Roman" w:cs="Times New Roman"/>
          <w:sz w:val="24"/>
          <w:szCs w:val="24"/>
        </w:rPr>
        <w:t xml:space="preserve"> the public of the 30-day comment period for the project and sending relative information to a library in the general area.</w:t>
      </w:r>
      <w:r w:rsidR="003906F4">
        <w:rPr>
          <w:rFonts w:ascii="Times New Roman" w:hAnsi="Times New Roman" w:cs="Times New Roman"/>
          <w:sz w:val="24"/>
          <w:szCs w:val="24"/>
        </w:rPr>
        <w:t xml:space="preserve"> An example of the Public Notice documentation will be included in the Forms Package.</w:t>
      </w:r>
    </w:p>
    <w:p w14:paraId="61B75C40" w14:textId="7D941EB1" w:rsidR="003906F4" w:rsidRPr="003906F4" w:rsidRDefault="004C6C02" w:rsidP="00F10B30">
      <w:pPr>
        <w:pStyle w:val="ListParagraph"/>
        <w:spacing w:before="120"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The OPGP</w:t>
      </w:r>
      <w:r w:rsidR="003A3A27">
        <w:rPr>
          <w:rFonts w:ascii="Times New Roman" w:hAnsi="Times New Roman" w:cs="Times New Roman"/>
          <w:sz w:val="24"/>
          <w:szCs w:val="24"/>
        </w:rPr>
        <w:t xml:space="preserve"> also requires the public participation process if the facility propos</w:t>
      </w:r>
      <w:r w:rsidR="00203908">
        <w:rPr>
          <w:rFonts w:ascii="Times New Roman" w:hAnsi="Times New Roman" w:cs="Times New Roman"/>
          <w:sz w:val="24"/>
          <w:szCs w:val="24"/>
        </w:rPr>
        <w:t xml:space="preserve">es </w:t>
      </w:r>
      <w:r w:rsidR="003A3A27">
        <w:rPr>
          <w:rFonts w:ascii="Times New Roman" w:hAnsi="Times New Roman" w:cs="Times New Roman"/>
          <w:sz w:val="24"/>
          <w:szCs w:val="24"/>
        </w:rPr>
        <w:t>to modify the source such that it’s uncontrolled emissions as described in the Notice of Intent would increase.  For those changes that do not increase the uncontrolled emission levels, the facility would only be required to report those changes to the MDEQ.</w:t>
      </w:r>
    </w:p>
    <w:p w14:paraId="525ADB84" w14:textId="77777777" w:rsidR="00755B0B" w:rsidRPr="00755B0B" w:rsidRDefault="00755B0B" w:rsidP="007118E8">
      <w:pPr>
        <w:spacing w:before="120" w:after="120" w:line="360" w:lineRule="auto"/>
        <w:jc w:val="both"/>
        <w:rPr>
          <w:rFonts w:ascii="Times New Roman" w:hAnsi="Times New Roman" w:cs="Times New Roman"/>
          <w:sz w:val="24"/>
          <w:szCs w:val="24"/>
          <w:highlight w:val="yellow"/>
        </w:rPr>
      </w:pPr>
    </w:p>
    <w:sectPr w:rsidR="00755B0B" w:rsidRPr="00755B0B" w:rsidSect="0020247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7830" w14:textId="77777777" w:rsidR="00B25F67" w:rsidRDefault="00B25F67" w:rsidP="00980EB4">
      <w:pPr>
        <w:spacing w:after="0" w:line="240" w:lineRule="auto"/>
      </w:pPr>
      <w:r>
        <w:separator/>
      </w:r>
    </w:p>
  </w:endnote>
  <w:endnote w:type="continuationSeparator" w:id="0">
    <w:p w14:paraId="489422D8" w14:textId="77777777" w:rsidR="00B25F67" w:rsidRDefault="00B25F67" w:rsidP="0098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6B4E" w14:textId="35912B15" w:rsidR="00881E92" w:rsidRPr="00881E92" w:rsidRDefault="00881E92" w:rsidP="00881E92">
    <w:pPr>
      <w:pStyle w:val="TOC1"/>
    </w:pPr>
    <w:r w:rsidRPr="00881E92">
      <w:t>AI# xxxxx</w:t>
    </w:r>
    <w:r w:rsidRPr="00881E92">
      <w:tab/>
      <w:t xml:space="preserve">           </w:t>
    </w:r>
    <w:r w:rsidRPr="00881E92">
      <w:tab/>
    </w:r>
    <w:r w:rsidRPr="00881E92">
      <w:tab/>
    </w:r>
    <w:r w:rsidRPr="00881E92">
      <w:tab/>
    </w:r>
    <w:r w:rsidRPr="00881E92">
      <w:tab/>
    </w:r>
    <w:r w:rsidRPr="00881E92">
      <w:tab/>
    </w:r>
    <w:r w:rsidRPr="00881E92">
      <w:tab/>
    </w:r>
    <w:r w:rsidRPr="00881E92">
      <w:tab/>
    </w:r>
    <w:r w:rsidRPr="00881E92">
      <w:tab/>
    </w:r>
    <w:r w:rsidRPr="00881E92">
      <w:tab/>
    </w:r>
    <w:sdt>
      <w:sdtPr>
        <w:id w:val="801426892"/>
        <w:docPartObj>
          <w:docPartGallery w:val="Page Numbers (Bottom of Page)"/>
          <w:docPartUnique/>
        </w:docPartObj>
      </w:sdtPr>
      <w:sdtEndPr/>
      <w:sdtContent>
        <w:sdt>
          <w:sdtPr>
            <w:id w:val="-1769616900"/>
            <w:docPartObj>
              <w:docPartGallery w:val="Page Numbers (Top of Page)"/>
              <w:docPartUnique/>
            </w:docPartObj>
          </w:sdtPr>
          <w:sdtEndPr/>
          <w:sdtContent>
            <w:r w:rsidRPr="00881E92">
              <w:t xml:space="preserve">Page </w:t>
            </w:r>
            <w:r w:rsidRPr="00881E92">
              <w:rPr>
                <w:bCs/>
              </w:rPr>
              <w:fldChar w:fldCharType="begin"/>
            </w:r>
            <w:r w:rsidRPr="00881E92">
              <w:rPr>
                <w:bCs/>
              </w:rPr>
              <w:instrText xml:space="preserve"> PAGE </w:instrText>
            </w:r>
            <w:r w:rsidRPr="00881E92">
              <w:rPr>
                <w:bCs/>
              </w:rPr>
              <w:fldChar w:fldCharType="separate"/>
            </w:r>
            <w:r w:rsidR="004B118F">
              <w:rPr>
                <w:bCs/>
                <w:noProof/>
              </w:rPr>
              <w:t>4</w:t>
            </w:r>
            <w:r w:rsidRPr="00881E92">
              <w:rPr>
                <w:bCs/>
              </w:rPr>
              <w:fldChar w:fldCharType="end"/>
            </w:r>
            <w:r w:rsidRPr="00881E92">
              <w:t xml:space="preserve"> of </w:t>
            </w:r>
            <w:r w:rsidRPr="00881E92">
              <w:rPr>
                <w:bCs/>
              </w:rPr>
              <w:fldChar w:fldCharType="begin"/>
            </w:r>
            <w:r w:rsidRPr="00881E92">
              <w:rPr>
                <w:bCs/>
              </w:rPr>
              <w:instrText xml:space="preserve"> NUMPAGES  </w:instrText>
            </w:r>
            <w:r w:rsidRPr="00881E92">
              <w:rPr>
                <w:bCs/>
              </w:rPr>
              <w:fldChar w:fldCharType="separate"/>
            </w:r>
            <w:r w:rsidR="004B118F">
              <w:rPr>
                <w:bCs/>
                <w:noProof/>
              </w:rPr>
              <w:t>7</w:t>
            </w:r>
            <w:r w:rsidRPr="00881E92">
              <w:rPr>
                <w:bCs/>
              </w:rPr>
              <w:fldChar w:fldCharType="end"/>
            </w:r>
          </w:sdtContent>
        </w:sdt>
      </w:sdtContent>
    </w:sdt>
  </w:p>
  <w:p w14:paraId="16DF4C8E" w14:textId="77777777" w:rsidR="00881E92" w:rsidRPr="00881E92" w:rsidRDefault="00881E9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8C87B" w14:textId="77777777" w:rsidR="00B25F67" w:rsidRDefault="00B25F67" w:rsidP="00980EB4">
      <w:pPr>
        <w:spacing w:after="0" w:line="240" w:lineRule="auto"/>
      </w:pPr>
      <w:r>
        <w:separator/>
      </w:r>
    </w:p>
  </w:footnote>
  <w:footnote w:type="continuationSeparator" w:id="0">
    <w:p w14:paraId="6FEE1B94" w14:textId="77777777" w:rsidR="00B25F67" w:rsidRDefault="00B25F67" w:rsidP="00980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CB9"/>
    <w:multiLevelType w:val="hybridMultilevel"/>
    <w:tmpl w:val="7CFEB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1C00EE"/>
    <w:multiLevelType w:val="hybridMultilevel"/>
    <w:tmpl w:val="84AEA3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7AB5"/>
    <w:multiLevelType w:val="hybridMultilevel"/>
    <w:tmpl w:val="86029E1E"/>
    <w:lvl w:ilvl="0" w:tplc="C6A43B6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3068BA"/>
    <w:multiLevelType w:val="hybridMultilevel"/>
    <w:tmpl w:val="88943620"/>
    <w:lvl w:ilvl="0" w:tplc="42121EE4">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77464FE"/>
    <w:multiLevelType w:val="hybridMultilevel"/>
    <w:tmpl w:val="45E825D0"/>
    <w:lvl w:ilvl="0" w:tplc="3FE219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A49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475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731FB8"/>
    <w:multiLevelType w:val="hybridMultilevel"/>
    <w:tmpl w:val="A294B37E"/>
    <w:lvl w:ilvl="0" w:tplc="6F78E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55868"/>
    <w:multiLevelType w:val="hybridMultilevel"/>
    <w:tmpl w:val="C1C08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D53ABF"/>
    <w:multiLevelType w:val="hybridMultilevel"/>
    <w:tmpl w:val="3A5EAF0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C1FEE"/>
    <w:multiLevelType w:val="hybridMultilevel"/>
    <w:tmpl w:val="D06EAC8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955FE"/>
    <w:multiLevelType w:val="hybridMultilevel"/>
    <w:tmpl w:val="50A64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3923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2B42CC"/>
    <w:multiLevelType w:val="hybridMultilevel"/>
    <w:tmpl w:val="8640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1B2C25"/>
    <w:multiLevelType w:val="hybridMultilevel"/>
    <w:tmpl w:val="704A21A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FE13AC"/>
    <w:multiLevelType w:val="hybridMultilevel"/>
    <w:tmpl w:val="601A52FC"/>
    <w:lvl w:ilvl="0" w:tplc="ECCE606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4B4794"/>
    <w:multiLevelType w:val="multilevel"/>
    <w:tmpl w:val="F514A056"/>
    <w:lvl w:ilvl="0">
      <w:start w:val="1"/>
      <w:numFmt w:val="upperRoman"/>
      <w:suff w:val="nothing"/>
      <w:lvlText w:val="Part %1"/>
      <w:lvlJc w:val="center"/>
      <w:pPr>
        <w:ind w:left="216" w:firstLine="4104"/>
      </w:pPr>
      <w:rPr>
        <w:rFonts w:ascii="Times New Roman" w:hAnsi="Times New Roman" w:cs="Times New Roman" w:hint="default"/>
        <w:b/>
        <w:bCs/>
        <w:i w:val="0"/>
        <w:iCs w:val="0"/>
        <w:sz w:val="24"/>
        <w:szCs w:val="24"/>
      </w:rPr>
    </w:lvl>
    <w:lvl w:ilvl="1">
      <w:start w:val="1"/>
      <w:numFmt w:val="decimal"/>
      <w:pStyle w:val="Other"/>
      <w:lvlText w:val="%2."/>
      <w:lvlJc w:val="left"/>
      <w:pPr>
        <w:tabs>
          <w:tab w:val="num" w:pos="720"/>
        </w:tabs>
        <w:ind w:left="720" w:hanging="720"/>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800"/>
        </w:tabs>
        <w:ind w:left="1512" w:hanging="432"/>
      </w:pPr>
      <w:rPr>
        <w:rFonts w:cs="Times New Roman" w:hint="default"/>
      </w:rPr>
    </w:lvl>
    <w:lvl w:ilvl="4">
      <w:start w:val="1"/>
      <w:numFmt w:val="decimal"/>
      <w:lvlText w:val="(%5)"/>
      <w:lvlJc w:val="left"/>
      <w:pPr>
        <w:tabs>
          <w:tab w:val="num" w:pos="1800"/>
        </w:tabs>
        <w:ind w:left="1800" w:hanging="360"/>
      </w:pPr>
      <w:rPr>
        <w:rFonts w:ascii="Times New Roman" w:eastAsia="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1145CCF"/>
    <w:multiLevelType w:val="hybridMultilevel"/>
    <w:tmpl w:val="B7FEFB10"/>
    <w:lvl w:ilvl="0" w:tplc="E0328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DA1968"/>
    <w:multiLevelType w:val="hybridMultilevel"/>
    <w:tmpl w:val="030C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7E137422"/>
    <w:multiLevelType w:val="hybridMultilevel"/>
    <w:tmpl w:val="1A14D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3"/>
  </w:num>
  <w:num w:numId="4">
    <w:abstractNumId w:val="2"/>
  </w:num>
  <w:num w:numId="5">
    <w:abstractNumId w:val="0"/>
  </w:num>
  <w:num w:numId="6">
    <w:abstractNumId w:val="18"/>
  </w:num>
  <w:num w:numId="7">
    <w:abstractNumId w:val="16"/>
  </w:num>
  <w:num w:numId="8">
    <w:abstractNumId w:val="17"/>
  </w:num>
  <w:num w:numId="9">
    <w:abstractNumId w:val="4"/>
  </w:num>
  <w:num w:numId="10">
    <w:abstractNumId w:val="7"/>
  </w:num>
  <w:num w:numId="11">
    <w:abstractNumId w:val="13"/>
  </w:num>
  <w:num w:numId="12">
    <w:abstractNumId w:val="14"/>
  </w:num>
  <w:num w:numId="13">
    <w:abstractNumId w:val="11"/>
  </w:num>
  <w:num w:numId="14">
    <w:abstractNumId w:val="6"/>
  </w:num>
  <w:num w:numId="15">
    <w:abstractNumId w:val="12"/>
  </w:num>
  <w:num w:numId="16">
    <w:abstractNumId w:val="5"/>
  </w:num>
  <w:num w:numId="17">
    <w:abstractNumId w:val="10"/>
  </w:num>
  <w:num w:numId="18">
    <w:abstractNumId w:val="9"/>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CB"/>
    <w:rsid w:val="000131A0"/>
    <w:rsid w:val="000533C6"/>
    <w:rsid w:val="000710F2"/>
    <w:rsid w:val="00093711"/>
    <w:rsid w:val="00097E7D"/>
    <w:rsid w:val="000A3DE4"/>
    <w:rsid w:val="000C52FB"/>
    <w:rsid w:val="000F173F"/>
    <w:rsid w:val="000F7801"/>
    <w:rsid w:val="00117D84"/>
    <w:rsid w:val="0016564D"/>
    <w:rsid w:val="00182C93"/>
    <w:rsid w:val="00192798"/>
    <w:rsid w:val="001A614B"/>
    <w:rsid w:val="001E1D1A"/>
    <w:rsid w:val="001F164D"/>
    <w:rsid w:val="00202470"/>
    <w:rsid w:val="00203908"/>
    <w:rsid w:val="00256393"/>
    <w:rsid w:val="002754C3"/>
    <w:rsid w:val="00291E23"/>
    <w:rsid w:val="002A0532"/>
    <w:rsid w:val="002A6B62"/>
    <w:rsid w:val="003058C3"/>
    <w:rsid w:val="003159F1"/>
    <w:rsid w:val="003906F4"/>
    <w:rsid w:val="00393136"/>
    <w:rsid w:val="003A3A27"/>
    <w:rsid w:val="003A3DF0"/>
    <w:rsid w:val="003D50A4"/>
    <w:rsid w:val="003E1EC6"/>
    <w:rsid w:val="00405DCB"/>
    <w:rsid w:val="0041033C"/>
    <w:rsid w:val="00465EBD"/>
    <w:rsid w:val="004B118F"/>
    <w:rsid w:val="004C6C02"/>
    <w:rsid w:val="00515BF6"/>
    <w:rsid w:val="005E794E"/>
    <w:rsid w:val="00654579"/>
    <w:rsid w:val="00662D63"/>
    <w:rsid w:val="00681E5A"/>
    <w:rsid w:val="006B30A3"/>
    <w:rsid w:val="006C1F38"/>
    <w:rsid w:val="006C7490"/>
    <w:rsid w:val="006D4103"/>
    <w:rsid w:val="006E3033"/>
    <w:rsid w:val="007118E8"/>
    <w:rsid w:val="0074728A"/>
    <w:rsid w:val="00755B0B"/>
    <w:rsid w:val="007573F2"/>
    <w:rsid w:val="00765347"/>
    <w:rsid w:val="007713F6"/>
    <w:rsid w:val="0079766D"/>
    <w:rsid w:val="007B3D21"/>
    <w:rsid w:val="007C1FBD"/>
    <w:rsid w:val="007C33F6"/>
    <w:rsid w:val="007C3BCB"/>
    <w:rsid w:val="00822B42"/>
    <w:rsid w:val="00826DCD"/>
    <w:rsid w:val="00881E92"/>
    <w:rsid w:val="008A4C5F"/>
    <w:rsid w:val="008D1495"/>
    <w:rsid w:val="00946878"/>
    <w:rsid w:val="00947978"/>
    <w:rsid w:val="00963449"/>
    <w:rsid w:val="00980EB4"/>
    <w:rsid w:val="009B5D82"/>
    <w:rsid w:val="009D6ED2"/>
    <w:rsid w:val="009E251B"/>
    <w:rsid w:val="00A24B77"/>
    <w:rsid w:val="00A5556D"/>
    <w:rsid w:val="00A972CC"/>
    <w:rsid w:val="00AA232F"/>
    <w:rsid w:val="00AB0B48"/>
    <w:rsid w:val="00AC2601"/>
    <w:rsid w:val="00B14BEB"/>
    <w:rsid w:val="00B25F67"/>
    <w:rsid w:val="00B36D65"/>
    <w:rsid w:val="00B6091E"/>
    <w:rsid w:val="00B637D7"/>
    <w:rsid w:val="00B7051F"/>
    <w:rsid w:val="00B705FB"/>
    <w:rsid w:val="00BC66DC"/>
    <w:rsid w:val="00BD5922"/>
    <w:rsid w:val="00C46F80"/>
    <w:rsid w:val="00C678E5"/>
    <w:rsid w:val="00C84EB1"/>
    <w:rsid w:val="00CC49FC"/>
    <w:rsid w:val="00D344BF"/>
    <w:rsid w:val="00D50C58"/>
    <w:rsid w:val="00D5240F"/>
    <w:rsid w:val="00D77B54"/>
    <w:rsid w:val="00E1245B"/>
    <w:rsid w:val="00E44618"/>
    <w:rsid w:val="00E52CEF"/>
    <w:rsid w:val="00E64C63"/>
    <w:rsid w:val="00E66D49"/>
    <w:rsid w:val="00EB3F04"/>
    <w:rsid w:val="00ED1D5D"/>
    <w:rsid w:val="00EE4736"/>
    <w:rsid w:val="00F073D9"/>
    <w:rsid w:val="00F10B30"/>
    <w:rsid w:val="00F5551D"/>
    <w:rsid w:val="00F61F92"/>
    <w:rsid w:val="00F936E6"/>
    <w:rsid w:val="00FE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60AA9"/>
  <w15:chartTrackingRefBased/>
  <w15:docId w15:val="{ABCE0F45-1930-401E-970A-12403B40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B4"/>
  </w:style>
  <w:style w:type="paragraph" w:styleId="Footer">
    <w:name w:val="footer"/>
    <w:basedOn w:val="Normal"/>
    <w:link w:val="FooterChar"/>
    <w:uiPriority w:val="99"/>
    <w:unhideWhenUsed/>
    <w:rsid w:val="0098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B4"/>
  </w:style>
  <w:style w:type="paragraph" w:styleId="ListParagraph">
    <w:name w:val="List Paragraph"/>
    <w:basedOn w:val="Normal"/>
    <w:uiPriority w:val="34"/>
    <w:qFormat/>
    <w:rsid w:val="00515BF6"/>
    <w:pPr>
      <w:ind w:left="720"/>
      <w:contextualSpacing/>
    </w:pPr>
  </w:style>
  <w:style w:type="paragraph" w:customStyle="1" w:styleId="Default">
    <w:name w:val="Default"/>
    <w:rsid w:val="00D50C58"/>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99"/>
    <w:semiHidden/>
    <w:rsid w:val="00881E92"/>
    <w:pPr>
      <w:widowControl w:val="0"/>
      <w:autoSpaceDE w:val="0"/>
      <w:autoSpaceDN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33"/>
    <w:rPr>
      <w:rFonts w:ascii="Segoe UI" w:hAnsi="Segoe UI" w:cs="Segoe UI"/>
      <w:sz w:val="18"/>
      <w:szCs w:val="18"/>
    </w:rPr>
  </w:style>
  <w:style w:type="paragraph" w:styleId="Revision">
    <w:name w:val="Revision"/>
    <w:hidden/>
    <w:uiPriority w:val="99"/>
    <w:semiHidden/>
    <w:rsid w:val="006E3033"/>
    <w:pPr>
      <w:spacing w:after="0" w:line="240" w:lineRule="auto"/>
    </w:pPr>
  </w:style>
  <w:style w:type="paragraph" w:customStyle="1" w:styleId="Other">
    <w:name w:val="Other"/>
    <w:basedOn w:val="BodyText"/>
    <w:uiPriority w:val="99"/>
    <w:rsid w:val="00F936E6"/>
    <w:pPr>
      <w:numPr>
        <w:ilvl w:val="1"/>
        <w:numId w:val="7"/>
      </w:numPr>
      <w:tabs>
        <w:tab w:val="clear" w:pos="720"/>
        <w:tab w:val="num" w:pos="360"/>
      </w:tabs>
      <w:autoSpaceDE w:val="0"/>
      <w:autoSpaceDN w:val="0"/>
      <w:spacing w:after="240" w:line="240" w:lineRule="auto"/>
      <w:ind w:left="0" w:firstLine="0"/>
      <w:jc w:val="both"/>
    </w:pPr>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F936E6"/>
    <w:pPr>
      <w:spacing w:after="120"/>
    </w:pPr>
  </w:style>
  <w:style w:type="character" w:customStyle="1" w:styleId="BodyTextChar">
    <w:name w:val="Body Text Char"/>
    <w:basedOn w:val="DefaultParagraphFont"/>
    <w:link w:val="BodyText"/>
    <w:uiPriority w:val="99"/>
    <w:semiHidden/>
    <w:rsid w:val="00F936E6"/>
  </w:style>
  <w:style w:type="character" w:styleId="CommentReference">
    <w:name w:val="annotation reference"/>
    <w:basedOn w:val="DefaultParagraphFont"/>
    <w:uiPriority w:val="99"/>
    <w:semiHidden/>
    <w:unhideWhenUsed/>
    <w:rsid w:val="00A972CC"/>
    <w:rPr>
      <w:sz w:val="16"/>
      <w:szCs w:val="16"/>
    </w:rPr>
  </w:style>
  <w:style w:type="paragraph" w:styleId="CommentText">
    <w:name w:val="annotation text"/>
    <w:basedOn w:val="Normal"/>
    <w:link w:val="CommentTextChar"/>
    <w:uiPriority w:val="99"/>
    <w:semiHidden/>
    <w:unhideWhenUsed/>
    <w:rsid w:val="00A972CC"/>
    <w:pPr>
      <w:spacing w:line="240" w:lineRule="auto"/>
    </w:pPr>
    <w:rPr>
      <w:sz w:val="20"/>
      <w:szCs w:val="20"/>
    </w:rPr>
  </w:style>
  <w:style w:type="character" w:customStyle="1" w:styleId="CommentTextChar">
    <w:name w:val="Comment Text Char"/>
    <w:basedOn w:val="DefaultParagraphFont"/>
    <w:link w:val="CommentText"/>
    <w:uiPriority w:val="99"/>
    <w:semiHidden/>
    <w:rsid w:val="00A972CC"/>
    <w:rPr>
      <w:sz w:val="20"/>
      <w:szCs w:val="20"/>
    </w:rPr>
  </w:style>
  <w:style w:type="paragraph" w:styleId="CommentSubject">
    <w:name w:val="annotation subject"/>
    <w:basedOn w:val="CommentText"/>
    <w:next w:val="CommentText"/>
    <w:link w:val="CommentSubjectChar"/>
    <w:uiPriority w:val="99"/>
    <w:semiHidden/>
    <w:unhideWhenUsed/>
    <w:rsid w:val="00A972CC"/>
    <w:rPr>
      <w:b/>
      <w:bCs/>
    </w:rPr>
  </w:style>
  <w:style w:type="character" w:customStyle="1" w:styleId="CommentSubjectChar">
    <w:name w:val="Comment Subject Char"/>
    <w:basedOn w:val="CommentTextChar"/>
    <w:link w:val="CommentSubject"/>
    <w:uiPriority w:val="99"/>
    <w:semiHidden/>
    <w:rsid w:val="00A97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4291">
      <w:bodyDiv w:val="1"/>
      <w:marLeft w:val="0"/>
      <w:marRight w:val="0"/>
      <w:marTop w:val="0"/>
      <w:marBottom w:val="0"/>
      <w:divBdr>
        <w:top w:val="none" w:sz="0" w:space="0" w:color="auto"/>
        <w:left w:val="none" w:sz="0" w:space="0" w:color="auto"/>
        <w:bottom w:val="none" w:sz="0" w:space="0" w:color="auto"/>
        <w:right w:val="none" w:sz="0" w:space="0" w:color="auto"/>
      </w:divBdr>
    </w:div>
    <w:div w:id="19713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Winter</dc:creator>
  <cp:keywords/>
  <dc:description/>
  <cp:lastModifiedBy>Jeffrey Bland</cp:lastModifiedBy>
  <cp:revision>2</cp:revision>
  <cp:lastPrinted>2019-05-16T18:57:00Z</cp:lastPrinted>
  <dcterms:created xsi:type="dcterms:W3CDTF">2019-08-28T18:47:00Z</dcterms:created>
  <dcterms:modified xsi:type="dcterms:W3CDTF">2019-08-28T18:47:00Z</dcterms:modified>
</cp:coreProperties>
</file>